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pPr>
      <w:r>
        <w:rPr>
          <w:color w:val="121A24"/>
        </w:rPr>
        <w:t>PRISM LiDAR Cloud — Positional Accuracy Report</w:t>
      </w:r>
    </w:p>
    <w:p>
      <w:r>
        <w:rPr>
          <w:i/>
          <w:color w:val="2DD4BF"/>
          <w:sz w:val="22"/>
        </w:rPr>
        <w:t>PRISM LiDAR Cloud — Survey-grade automated LiDAR analysis</w:t>
      </w:r>
    </w:p>
    <w:p>
      <w:r>
        <w:rPr>
          <w:b/>
          <w:color w:val="B00000"/>
          <w:sz w:val="22"/>
        </w:rPr>
        <w:t>DRAFT — FOR PSM REVIEW (not a sealed survey document)</w:t>
      </w:r>
    </w:p>
    <w:tbl>
      <w:tblPr>
        <w:tblStyle w:val="LightGrid-Accent1"/>
        <w:tblW w:type="auto" w:w="0"/>
        <w:tblLook w:firstColumn="1" w:firstRow="1" w:lastColumn="0" w:lastRow="0" w:noHBand="0" w:noVBand="1" w:val="04A0"/>
      </w:tblPr>
      <w:tblGrid>
        <w:gridCol w:w="4320"/>
        <w:gridCol w:w="4320"/>
      </w:tblGrid>
      <w:tr>
        <w:tc>
          <w:tcPr>
            <w:tcW w:type="dxa" w:w="4320"/>
          </w:tcPr>
          <w:p>
            <w:r>
              <w:rPr>
                <w:b/>
              </w:rPr>
              <w:t>Report metadata</w:t>
            </w:r>
          </w:p>
        </w:tc>
        <w:tc>
          <w:tcPr>
            <w:tcW w:type="dxa" w:w="4320"/>
          </w:tcPr>
          <w:p>
            <w:r>
              <w:rPr>
                <w:b/>
              </w:rPr>
            </w:r>
          </w:p>
        </w:tc>
      </w:tr>
      <w:tr>
        <w:tc>
          <w:tcPr>
            <w:tcW w:type="dxa" w:w="4320"/>
          </w:tcPr>
          <w:p>
            <w:r>
              <w:t>Site / project</w:t>
            </w:r>
          </w:p>
        </w:tc>
        <w:tc>
          <w:tcPr>
            <w:tcW w:type="dxa" w:w="4320"/>
          </w:tcPr>
          <w:p>
            <w:r>
              <w:t>Downtown Washington, DC (sample)</w:t>
            </w:r>
          </w:p>
        </w:tc>
      </w:tr>
      <w:tr>
        <w:tc>
          <w:tcPr>
            <w:tcW w:type="dxa" w:w="4320"/>
          </w:tcPr>
          <w:p>
            <w:r>
              <w:t>Input dataset</w:t>
            </w:r>
          </w:p>
        </w:tc>
        <w:tc>
          <w:tcPr>
            <w:tcW w:type="dxa" w:w="4320"/>
          </w:tcPr>
          <w:p>
            <w:r>
              <w:t>OpenDataDC 2020 airborne LiDAR (public domain)</w:t>
            </w:r>
          </w:p>
        </w:tc>
      </w:tr>
      <w:tr>
        <w:tc>
          <w:tcPr>
            <w:tcW w:type="dxa" w:w="4320"/>
          </w:tcPr>
          <w:p>
            <w:r>
              <w:t>Run timestamp (UTC)</w:t>
            </w:r>
          </w:p>
        </w:tc>
        <w:tc>
          <w:tcPr>
            <w:tcW w:type="dxa" w:w="4320"/>
          </w:tcPr>
          <w:p>
            <w:r>
              <w:t>2026-07-03T20:19:13+00:00</w:t>
            </w:r>
          </w:p>
        </w:tc>
      </w:tr>
      <w:tr>
        <w:tc>
          <w:tcPr>
            <w:tcW w:type="dxa" w:w="4320"/>
          </w:tcPr>
          <w:p>
            <w:r>
              <w:t>Run id</w:t>
            </w:r>
          </w:p>
        </w:tc>
        <w:tc>
          <w:tcPr>
            <w:tcW w:type="dxa" w:w="4320"/>
          </w:tcPr>
          <w:p>
            <w:r>
              <w:t>-</w:t>
            </w:r>
          </w:p>
        </w:tc>
      </w:tr>
      <w:tr>
        <w:tc>
          <w:tcPr>
            <w:tcW w:type="dxa" w:w="4320"/>
          </w:tcPr>
          <w:p>
            <w:r>
              <w:t>Operator</w:t>
            </w:r>
          </w:p>
        </w:tc>
        <w:tc>
          <w:tcPr>
            <w:tcW w:type="dxa" w:w="4320"/>
          </w:tcPr>
          <w:p>
            <w:r>
              <w:t>PRISM LiDAR Cloud</w:t>
            </w:r>
          </w:p>
        </w:tc>
      </w:tr>
      <w:tr>
        <w:tc>
          <w:tcPr>
            <w:tcW w:type="dxa" w:w="4320"/>
          </w:tcPr>
          <w:p>
            <w:r>
              <w:t>Engine version</w:t>
            </w:r>
          </w:p>
        </w:tc>
        <w:tc>
          <w:tcPr>
            <w:tcW w:type="dxa" w:w="4320"/>
          </w:tcPr>
          <w:p>
            <w:r>
              <w:t>PRISM·lidarcloud v5_4_10</w:t>
            </w:r>
          </w:p>
        </w:tc>
      </w:tr>
      <w:tr>
        <w:tc>
          <w:tcPr>
            <w:tcW w:type="dxa" w:w="4320"/>
          </w:tcPr>
          <w:p>
            <w:r>
              <w:t>Processing package version</w:t>
            </w:r>
          </w:p>
        </w:tc>
        <w:tc>
          <w:tcPr>
            <w:tcW w:type="dxa" w:w="4320"/>
          </w:tcPr>
          <w:p>
            <w:r>
              <w:t>6.0.0-dev</w:t>
            </w:r>
          </w:p>
        </w:tc>
      </w:tr>
      <w:tr>
        <w:tc>
          <w:tcPr>
            <w:tcW w:type="dxa" w:w="4320"/>
          </w:tcPr>
          <w:p>
            <w:r>
              <w:t>Engine file</w:t>
            </w:r>
          </w:p>
        </w:tc>
        <w:tc>
          <w:tcPr>
            <w:tcW w:type="dxa" w:w="4320"/>
          </w:tcPr>
          <w:p>
            <w:r>
              <w:t>-</w:t>
            </w:r>
          </w:p>
        </w:tc>
      </w:tr>
      <w:tr>
        <w:tc>
          <w:tcPr>
            <w:tcW w:type="dxa" w:w="4320"/>
          </w:tcPr>
          <w:p>
            <w:r>
              <w:t>Report builder (docx)</w:t>
            </w:r>
          </w:p>
        </w:tc>
        <w:tc>
          <w:tcPr>
            <w:tcW w:type="dxa" w:w="4320"/>
          </w:tcPr>
          <w:p>
            <w:r>
              <w:t>sap.report.docx 1.5.0</w:t>
            </w:r>
          </w:p>
        </w:tc>
      </w:tr>
    </w:tbl>
    <w:p>
      <w:pPr>
        <w:pStyle w:val="Heading1"/>
      </w:pPr>
      <w:r>
        <w:rPr>
          <w:color w:val="121A24"/>
        </w:rPr>
        <w:t>1. Project &amp; Location</w:t>
      </w:r>
    </w:p>
    <w:tbl>
      <w:tblPr>
        <w:tblStyle w:val="LightGrid-Accent1"/>
        <w:tblW w:type="auto" w:w="0"/>
        <w:tblLook w:firstColumn="1" w:firstRow="1" w:lastColumn="0" w:lastRow="0" w:noHBand="0" w:noVBand="1" w:val="04A0"/>
      </w:tblPr>
      <w:tblGrid>
        <w:gridCol w:w="4320"/>
        <w:gridCol w:w="4320"/>
      </w:tblGrid>
      <w:tr>
        <w:tc>
          <w:tcPr>
            <w:tcW w:type="dxa" w:w="4320"/>
          </w:tcPr>
          <w:p>
            <w:r>
              <w:rPr>
                <w:b/>
              </w:rPr>
              <w:t>Project / location</w:t>
            </w:r>
          </w:p>
        </w:tc>
        <w:tc>
          <w:tcPr>
            <w:tcW w:type="dxa" w:w="4320"/>
          </w:tcPr>
          <w:p>
            <w:r>
              <w:rPr>
                <w:b/>
              </w:rPr>
            </w:r>
          </w:p>
        </w:tc>
      </w:tr>
      <w:tr>
        <w:tc>
          <w:tcPr>
            <w:tcW w:type="dxa" w:w="4320"/>
          </w:tcPr>
          <w:p>
            <w:r>
              <w:t>Horizontal CRS</w:t>
            </w:r>
          </w:p>
        </w:tc>
        <w:tc>
          <w:tcPr>
            <w:tcW w:type="dxa" w:w="4320"/>
          </w:tcPr>
          <w:p>
            <w:r>
              <w:t>EPSG:26985 (NAD83 / Maryland State Plane (EPSG:26985))</w:t>
            </w:r>
          </w:p>
        </w:tc>
      </w:tr>
      <w:tr>
        <w:tc>
          <w:tcPr>
            <w:tcW w:type="dxa" w:w="4320"/>
          </w:tcPr>
          <w:p>
            <w:r>
              <w:t>Vertical datum</w:t>
            </w:r>
          </w:p>
        </w:tc>
        <w:tc>
          <w:tcPr>
            <w:tcW w:type="dxa" w:w="4320"/>
          </w:tcPr>
          <w:p>
            <w:r>
              <w:t>NAVD88 (GEOID18)</w:t>
            </w:r>
          </w:p>
        </w:tc>
      </w:tr>
      <w:tr>
        <w:tc>
          <w:tcPr>
            <w:tcW w:type="dxa" w:w="4320"/>
          </w:tcPr>
          <w:p>
            <w:r>
              <w:t>Vertical EPSG</w:t>
            </w:r>
          </w:p>
        </w:tc>
        <w:tc>
          <w:tcPr>
            <w:tcW w:type="dxa" w:w="4320"/>
          </w:tcPr>
          <w:p>
            <w:r>
              <w:t>5703</w:t>
            </w:r>
          </w:p>
        </w:tc>
      </w:tr>
      <w:tr>
        <w:tc>
          <w:tcPr>
            <w:tcW w:type="dxa" w:w="4320"/>
          </w:tcPr>
          <w:p>
            <w:r>
              <w:t>Vertical epoch</w:t>
            </w:r>
          </w:p>
        </w:tc>
        <w:tc>
          <w:tcPr>
            <w:tcW w:type="dxa" w:w="4320"/>
          </w:tcPr>
          <w:p>
            <w:r>
              <w:t>-</w:t>
            </w:r>
          </w:p>
        </w:tc>
      </w:tr>
      <w:tr>
        <w:tc>
          <w:tcPr>
            <w:tcW w:type="dxa" w:w="4320"/>
          </w:tcPr>
          <w:p>
            <w:r>
              <w:t>Orthometric / geoid</w:t>
            </w:r>
          </w:p>
        </w:tc>
        <w:tc>
          <w:tcPr>
            <w:tcW w:type="dxa" w:w="4320"/>
          </w:tcPr>
          <w:p>
            <w:r>
              <w:t>orthometric (GEOID18)</w:t>
            </w:r>
          </w:p>
        </w:tc>
      </w:tr>
      <w:tr>
        <w:tc>
          <w:tcPr>
            <w:tcW w:type="dxa" w:w="4320"/>
          </w:tcPr>
          <w:p>
            <w:r>
              <w:t>Linear units</w:t>
            </w:r>
          </w:p>
        </w:tc>
        <w:tc>
          <w:tcPr>
            <w:tcW w:type="dxa" w:w="4320"/>
          </w:tcPr>
          <w:p>
            <w:r>
              <w:t>metre</w:t>
            </w:r>
          </w:p>
        </w:tc>
      </w:tr>
      <w:tr>
        <w:tc>
          <w:tcPr>
            <w:tcW w:type="dxa" w:w="4320"/>
          </w:tcPr>
          <w:p>
            <w:r>
              <w:t>Area processed (km² / ac)</w:t>
            </w:r>
          </w:p>
        </w:tc>
        <w:tc>
          <w:tcPr>
            <w:tcW w:type="dxa" w:w="4320"/>
          </w:tcPr>
          <w:p>
            <w:r>
              <w:t>0.3563 km² (88.0 ac)</w:t>
            </w:r>
          </w:p>
        </w:tc>
      </w:tr>
      <w:tr>
        <w:tc>
          <w:tcPr>
            <w:tcW w:type="dxa" w:w="4320"/>
          </w:tcPr>
          <w:p>
            <w:r>
              <w:t>Area processed (m² / ft²)</w:t>
            </w:r>
          </w:p>
        </w:tc>
        <w:tc>
          <w:tcPr>
            <w:tcW w:type="dxa" w:w="4320"/>
          </w:tcPr>
          <w:p>
            <w:r>
              <w:t>356337.00 m² (88.053 ac)</w:t>
            </w:r>
          </w:p>
        </w:tc>
      </w:tr>
      <w:tr>
        <w:tc>
          <w:tcPr>
            <w:tcW w:type="dxa" w:w="4320"/>
          </w:tcPr>
          <w:p>
            <w:r>
              <w:t>Extent</w:t>
            </w:r>
          </w:p>
        </w:tc>
        <w:tc>
          <w:tcPr>
            <w:tcW w:type="dxa" w:w="4320"/>
          </w:tcPr>
          <w:p>
            <w:r>
              <w:t>Not available</w:t>
            </w:r>
          </w:p>
        </w:tc>
      </w:tr>
    </w:tbl>
    <w:p>
      <w:pPr>
        <w:pStyle w:val="Heading1"/>
      </w:pPr>
      <w:r>
        <w:rPr>
          <w:color w:val="121A24"/>
        </w:rPr>
        <w:t>2. Acquisition &amp; Sensor</w:t>
      </w:r>
    </w:p>
    <w:tbl>
      <w:tblPr>
        <w:tblStyle w:val="LightGrid-Accent1"/>
        <w:tblW w:type="auto" w:w="0"/>
        <w:tblLook w:firstColumn="1" w:firstRow="1" w:lastColumn="0" w:lastRow="0" w:noHBand="0" w:noVBand="1" w:val="04A0"/>
      </w:tblPr>
      <w:tblGrid>
        <w:gridCol w:w="4320"/>
        <w:gridCol w:w="4320"/>
      </w:tblGrid>
      <w:tr>
        <w:tc>
          <w:tcPr>
            <w:tcW w:type="dxa" w:w="4320"/>
          </w:tcPr>
          <w:p>
            <w:r>
              <w:rPr>
                <w:b/>
              </w:rPr>
              <w:t>Acquisition / sensor</w:t>
            </w:r>
          </w:p>
        </w:tc>
        <w:tc>
          <w:tcPr>
            <w:tcW w:type="dxa" w:w="4320"/>
          </w:tcPr>
          <w:p>
            <w:r>
              <w:rPr>
                <w:b/>
              </w:rPr>
            </w:r>
          </w:p>
        </w:tc>
      </w:tr>
      <w:tr>
        <w:tc>
          <w:tcPr>
            <w:tcW w:type="dxa" w:w="4320"/>
          </w:tcPr>
          <w:p>
            <w:r>
              <w:t>Acquisition date</w:t>
            </w:r>
          </w:p>
        </w:tc>
        <w:tc>
          <w:tcPr>
            <w:tcW w:type="dxa" w:w="4320"/>
          </w:tcPr>
          <w:p>
            <w:r>
              <w:t>Not recorded</w:t>
            </w:r>
          </w:p>
        </w:tc>
      </w:tr>
      <w:tr>
        <w:tc>
          <w:tcPr>
            <w:tcW w:type="dxa" w:w="4320"/>
          </w:tcPr>
          <w:p>
            <w:r>
              <w:t>System identifier</w:t>
            </w:r>
          </w:p>
        </w:tc>
        <w:tc>
          <w:tcPr>
            <w:tcW w:type="dxa" w:w="4320"/>
          </w:tcPr>
          <w:p>
            <w:r>
              <w:t>Not recorded</w:t>
            </w:r>
          </w:p>
        </w:tc>
      </w:tr>
      <w:tr>
        <w:tc>
          <w:tcPr>
            <w:tcW w:type="dxa" w:w="4320"/>
          </w:tcPr>
          <w:p>
            <w:r>
              <w:t>Generating software</w:t>
            </w:r>
          </w:p>
        </w:tc>
        <w:tc>
          <w:tcPr>
            <w:tcW w:type="dxa" w:w="4320"/>
          </w:tcPr>
          <w:p>
            <w:r>
              <w:t>Not recorded</w:t>
            </w:r>
          </w:p>
        </w:tc>
      </w:tr>
      <w:tr>
        <w:tc>
          <w:tcPr>
            <w:tcW w:type="dxa" w:w="4320"/>
          </w:tcPr>
          <w:p>
            <w:r>
              <w:t>Point data format</w:t>
            </w:r>
          </w:p>
        </w:tc>
        <w:tc>
          <w:tcPr>
            <w:tcW w:type="dxa" w:w="4320"/>
          </w:tcPr>
          <w:p>
            <w:r>
              <w:t>Not recorded</w:t>
            </w:r>
          </w:p>
        </w:tc>
      </w:tr>
      <w:tr>
        <w:tc>
          <w:tcPr>
            <w:tcW w:type="dxa" w:w="4320"/>
          </w:tcPr>
          <w:p>
            <w:r>
              <w:t>LAS version</w:t>
            </w:r>
          </w:p>
        </w:tc>
        <w:tc>
          <w:tcPr>
            <w:tcW w:type="dxa" w:w="4320"/>
          </w:tcPr>
          <w:p>
            <w:r>
              <w:t>Not recorded</w:t>
            </w:r>
          </w:p>
        </w:tc>
      </w:tr>
      <w:tr>
        <w:tc>
          <w:tcPr>
            <w:tcW w:type="dxa" w:w="4320"/>
          </w:tcPr>
          <w:p>
            <w:r>
              <w:t>Scan angle range (deg)</w:t>
            </w:r>
          </w:p>
        </w:tc>
        <w:tc>
          <w:tcPr>
            <w:tcW w:type="dxa" w:w="4320"/>
          </w:tcPr>
          <w:p>
            <w:r>
              <w:t>Not recorded</w:t>
            </w:r>
          </w:p>
        </w:tc>
      </w:tr>
      <w:tr>
        <w:tc>
          <w:tcPr>
            <w:tcW w:type="dxa" w:w="4320"/>
          </w:tcPr>
          <w:p>
            <w:r>
              <w:t>GPS time range</w:t>
            </w:r>
          </w:p>
        </w:tc>
        <w:tc>
          <w:tcPr>
            <w:tcW w:type="dxa" w:w="4320"/>
          </w:tcPr>
          <w:p>
            <w:r>
              <w:t>Not recorded</w:t>
            </w:r>
          </w:p>
        </w:tc>
      </w:tr>
    </w:tbl>
    <w:p>
      <w:r>
        <w:rPr>
          <w:i/>
          <w:color w:val="5A6672"/>
          <w:sz w:val="17"/>
        </w:rPr>
        <w:t>Return-number counts: Not recorded.</w:t>
      </w:r>
    </w:p>
    <w:p>
      <w:pPr>
        <w:pStyle w:val="Heading1"/>
      </w:pPr>
      <w:r>
        <w:rPr>
          <w:color w:val="121A24"/>
        </w:rPr>
        <w:t>3. Processing Settings</w:t>
      </w:r>
    </w:p>
    <w:tbl>
      <w:tblPr>
        <w:tblStyle w:val="LightGrid-Accent1"/>
        <w:tblW w:type="auto" w:w="0"/>
        <w:tblLook w:firstColumn="1" w:firstRow="1" w:lastColumn="0" w:lastRow="0" w:noHBand="0" w:noVBand="1" w:val="04A0"/>
      </w:tblPr>
      <w:tblGrid>
        <w:gridCol w:w="4320"/>
        <w:gridCol w:w="4320"/>
      </w:tblGrid>
      <w:tr>
        <w:tc>
          <w:tcPr>
            <w:tcW w:type="dxa" w:w="4320"/>
          </w:tcPr>
          <w:p>
            <w:r>
              <w:rPr>
                <w:b/>
              </w:rPr>
              <w:t>Processing setting</w:t>
            </w:r>
          </w:p>
        </w:tc>
        <w:tc>
          <w:tcPr>
            <w:tcW w:type="dxa" w:w="4320"/>
          </w:tcPr>
          <w:p>
            <w:r>
              <w:rPr>
                <w:b/>
              </w:rPr>
              <w:t>Value</w:t>
            </w:r>
          </w:p>
        </w:tc>
      </w:tr>
      <w:tr>
        <w:tc>
          <w:tcPr>
            <w:tcW w:type="dxa" w:w="4320"/>
          </w:tcPr>
          <w:p>
            <w:r>
              <w:t>Engine version</w:t>
            </w:r>
          </w:p>
        </w:tc>
        <w:tc>
          <w:tcPr>
            <w:tcW w:type="dxa" w:w="4320"/>
          </w:tcPr>
          <w:p>
            <w:r>
              <w:t>PRISM·lidarcloud v5_4_10</w:t>
            </w:r>
          </w:p>
        </w:tc>
      </w:tr>
      <w:tr>
        <w:tc>
          <w:tcPr>
            <w:tcW w:type="dxa" w:w="4320"/>
          </w:tcPr>
          <w:p>
            <w:r>
              <w:t>Engine file</w:t>
            </w:r>
          </w:p>
        </w:tc>
        <w:tc>
          <w:tcPr>
            <w:tcW w:type="dxa" w:w="4320"/>
          </w:tcPr>
          <w:p>
            <w:r>
              <w:t>-</w:t>
            </w:r>
          </w:p>
        </w:tc>
      </w:tr>
      <w:tr>
        <w:tc>
          <w:tcPr>
            <w:tcW w:type="dxa" w:w="4320"/>
          </w:tcPr>
          <w:p>
            <w:r>
              <w:t>DEM resolution</w:t>
            </w:r>
          </w:p>
        </w:tc>
        <w:tc>
          <w:tcPr>
            <w:tcW w:type="dxa" w:w="4320"/>
          </w:tcPr>
          <w:p>
            <w:r>
              <w:t>0.50 m (19.7 in)</w:t>
            </w:r>
          </w:p>
        </w:tc>
      </w:tr>
      <w:tr>
        <w:tc>
          <w:tcPr>
            <w:tcW w:type="dxa" w:w="4320"/>
          </w:tcPr>
          <w:p>
            <w:r>
              <w:t>DSM resolution</w:t>
            </w:r>
          </w:p>
        </w:tc>
        <w:tc>
          <w:tcPr>
            <w:tcW w:type="dxa" w:w="4320"/>
          </w:tcPr>
          <w:p>
            <w:r>
              <w:t>-</w:t>
            </w:r>
          </w:p>
        </w:tc>
      </w:tr>
    </w:tbl>
    <w:p>
      <w:r>
        <w:rPr>
          <w:b/>
        </w:rPr>
        <w:t>Pipeline summary</w:t>
      </w:r>
    </w:p>
    <w:p>
      <w:r>
        <w:t>The bare-earth DEM, surface model (DSM) and canopy height model (CHM) are produced by the PRISM·lidarcloud processing engine (proprietary). The DEM is the classified bare-ground surface at the published cell size; the DSM is the top surface (vegetation, structures and bare ground); the CHM is the height of features above the ground (CHM = DSM − DEM). A classified point cloud and a per-cell DEM uncertainty layer are delivered alongside the rasters.</w:t>
      </w:r>
    </w:p>
    <w:p>
      <w:r>
        <w:rPr>
          <w:b/>
        </w:rPr>
        <w:t>Datum &amp; geoid handling</w:t>
      </w:r>
    </w:p>
    <w:p>
      <w:r>
        <w:t>Products are reported in NAVD88 (GEOID18) (orthometric), derived from the WGS84 ellipsoidal input by applying the GEOID18 geoid model (H = h - N) per cell.</w:t>
      </w:r>
    </w:p>
    <w:p>
      <w:pPr>
        <w:pStyle w:val="Heading1"/>
      </w:pPr>
      <w:r>
        <w:rPr>
          <w:color w:val="121A24"/>
        </w:rPr>
        <w:t>4. Products &amp; Descriptions</w:t>
      </w:r>
    </w:p>
    <w:tbl>
      <w:tblPr>
        <w:tblStyle w:val="LightGrid-Accent1"/>
        <w:tblW w:type="auto" w:w="0"/>
        <w:tblLook w:firstColumn="1" w:firstRow="1" w:lastColumn="0" w:lastRow="0" w:noHBand="0" w:noVBand="1" w:val="04A0"/>
      </w:tblPr>
      <w:tblGrid>
        <w:gridCol w:w="4320"/>
        <w:gridCol w:w="4320"/>
      </w:tblGrid>
      <w:tr>
        <w:tc>
          <w:tcPr>
            <w:tcW w:type="dxa" w:w="4320"/>
          </w:tcPr>
          <w:p>
            <w:r>
              <w:rPr>
                <w:b/>
              </w:rPr>
              <w:t>Product</w:t>
            </w:r>
          </w:p>
        </w:tc>
        <w:tc>
          <w:tcPr>
            <w:tcW w:type="dxa" w:w="4320"/>
          </w:tcPr>
          <w:p>
            <w:r>
              <w:rPr>
                <w:b/>
              </w:rPr>
              <w:t>Description</w:t>
            </w:r>
          </w:p>
        </w:tc>
      </w:tr>
      <w:tr>
        <w:tc>
          <w:tcPr>
            <w:tcW w:type="dxa" w:w="4320"/>
          </w:tcPr>
          <w:p>
            <w:r>
              <w:t>DEM — bare-earth (GeoTIFF + LAS)</w:t>
            </w:r>
          </w:p>
        </w:tc>
        <w:tc>
          <w:tcPr>
            <w:tcW w:type="dxa" w:w="4320"/>
          </w:tcPr>
          <w:p>
            <w:r>
              <w:t>Digital Elevation Model of the classified bare-ground surface, at the published cell size; the survey deliverable for terrain, hydrology and volume work.</w:t>
            </w:r>
          </w:p>
        </w:tc>
      </w:tr>
      <w:tr>
        <w:tc>
          <w:tcPr>
            <w:tcW w:type="dxa" w:w="4320"/>
          </w:tcPr>
          <w:p>
            <w:r>
              <w:t>DSM — surface model (GeoTIFF + LAS)</w:t>
            </w:r>
          </w:p>
        </w:tc>
        <w:tc>
          <w:tcPr>
            <w:tcW w:type="dxa" w:w="4320"/>
          </w:tcPr>
          <w:p>
            <w:r>
              <w:t>Digital Surface Model — the top surface (vegetation, buildings and bare ground) at the published cell size.</w:t>
            </w:r>
          </w:p>
        </w:tc>
      </w:tr>
      <w:tr>
        <w:tc>
          <w:tcPr>
            <w:tcW w:type="dxa" w:w="4320"/>
          </w:tcPr>
          <w:p>
            <w:r>
              <w:t>CHM — canopy height model (GeoTIFF + LAS)</w:t>
            </w:r>
          </w:p>
        </w:tc>
        <w:tc>
          <w:tcPr>
            <w:tcW w:type="dxa" w:w="4320"/>
          </w:tcPr>
          <w:p>
            <w:r>
              <w:t>Canopy Height Model = DSM - DEM; height of vegetation/structures above the bare earth, for forestry, biomass and obstruction analysis.</w:t>
            </w:r>
          </w:p>
        </w:tc>
      </w:tr>
      <w:tr>
        <w:tc>
          <w:tcPr>
            <w:tcW w:type="dxa" w:w="4320"/>
          </w:tcPr>
          <w:p>
            <w:r>
              <w:t>DEM uncertainty (GeoTIFF)</w:t>
            </w:r>
          </w:p>
        </w:tc>
        <w:tc>
          <w:tcPr>
            <w:tcW w:type="dxa" w:w="4320"/>
          </w:tcPr>
          <w:p>
            <w:r>
              <w:t>Per-cell uncertainty index (0 = data-supported ground, 1 = unsupported / interpolated); drives the percent-within-tolerance reliability map.</w:t>
            </w:r>
          </w:p>
        </w:tc>
      </w:tr>
      <w:tr>
        <w:tc>
          <w:tcPr>
            <w:tcW w:type="dxa" w:w="4320"/>
          </w:tcPr>
          <w:p>
            <w:r>
              <w:t>Classified point cloud (LAS/LAZ)</w:t>
            </w:r>
          </w:p>
        </w:tc>
        <w:tc>
          <w:tcPr>
            <w:tcW w:type="dxa" w:w="4320"/>
          </w:tcPr>
          <w:p>
            <w:r>
              <w:t>Full point cloud with ASPRS semantic classes (ground, low/med/high vegetation, building, water, wire), in ellipsoidal-Z and height-above-DEM variants.</w:t>
            </w:r>
          </w:p>
        </w:tc>
      </w:tr>
      <w:tr>
        <w:tc>
          <w:tcPr>
            <w:tcW w:type="dxa" w:w="4320"/>
          </w:tcPr>
          <w:p>
            <w:r>
              <w:t>AOI extent (KML / SHP / GeoJSON)</w:t>
            </w:r>
          </w:p>
        </w:tc>
        <w:tc>
          <w:tcPr>
            <w:tcW w:type="dxa" w:w="4320"/>
          </w:tcPr>
          <w:p>
            <w:r>
              <w:t>Processing-area boundary polygon for the delivered products, for GIS overlay and coverage verification.</w:t>
            </w:r>
          </w:p>
        </w:tc>
      </w:tr>
      <w:tr>
        <w:tc>
          <w:tcPr>
            <w:tcW w:type="dxa" w:w="4320"/>
          </w:tcPr>
          <w:p>
            <w:r>
              <w:t>CAD deliverables (DXF / LandXML)</w:t>
            </w:r>
          </w:p>
        </w:tc>
        <w:tc>
          <w:tcPr>
            <w:tcW w:type="dxa" w:w="4320"/>
          </w:tcPr>
          <w:p>
            <w:r>
              <w:t>Survey-CAD surfaces — DXF 3D contours/points and LandXML TIN, in the project's State Plane zone (ftUS) with NAVD88 (GEOID18) elevations — for ingest into civil/CAD workflows.</w:t>
            </w:r>
          </w:p>
        </w:tc>
      </w:tr>
    </w:tbl>
    <w:p>
      <w:pPr>
        <w:pStyle w:val="Heading1"/>
      </w:pPr>
      <w:r>
        <w:rPr>
          <w:color w:val="121A24"/>
        </w:rPr>
        <w:t>5. Product Metrics &amp; Summary Statistics</w:t>
      </w:r>
    </w:p>
    <w:p>
      <w:r>
        <w:rPr>
          <w:b/>
        </w:rPr>
        <w:t>Dataset</w:t>
      </w:r>
    </w:p>
    <w:tbl>
      <w:tblPr>
        <w:tblStyle w:val="LightGrid-Accent1"/>
        <w:tblW w:type="auto" w:w="0"/>
        <w:tblLook w:firstColumn="1" w:firstRow="1" w:lastColumn="0" w:lastRow="0" w:noHBand="0" w:noVBand="1" w:val="04A0"/>
      </w:tblPr>
      <w:tblGrid>
        <w:gridCol w:w="4320"/>
        <w:gridCol w:w="4320"/>
      </w:tblGrid>
      <w:tr>
        <w:tc>
          <w:tcPr>
            <w:tcW w:type="dxa" w:w="4320"/>
          </w:tcPr>
          <w:p>
            <w:r>
              <w:rPr>
                <w:b/>
              </w:rPr>
              <w:t>Metric</w:t>
            </w:r>
          </w:p>
        </w:tc>
        <w:tc>
          <w:tcPr>
            <w:tcW w:type="dxa" w:w="4320"/>
          </w:tcPr>
          <w:p>
            <w:r>
              <w:rPr>
                <w:b/>
              </w:rPr>
              <w:t>Value</w:t>
            </w:r>
          </w:p>
        </w:tc>
      </w:tr>
      <w:tr>
        <w:tc>
          <w:tcPr>
            <w:tcW w:type="dxa" w:w="4320"/>
          </w:tcPr>
          <w:p>
            <w:r>
              <w:t>Points (input)</w:t>
            </w:r>
          </w:p>
        </w:tc>
        <w:tc>
          <w:tcPr>
            <w:tcW w:type="dxa" w:w="4320"/>
          </w:tcPr>
          <w:p>
            <w:r>
              <w:t>3,237,983</w:t>
            </w:r>
          </w:p>
        </w:tc>
      </w:tr>
      <w:tr>
        <w:tc>
          <w:tcPr>
            <w:tcW w:type="dxa" w:w="4320"/>
          </w:tcPr>
          <w:p>
            <w:r>
              <w:t>Point density (pts/m² / pts/ft²)</w:t>
            </w:r>
          </w:p>
        </w:tc>
        <w:tc>
          <w:tcPr>
            <w:tcW w:type="dxa" w:w="4320"/>
          </w:tcPr>
          <w:p>
            <w:r>
              <w:t>9.09 pts/m² (0.84 pts/ft²)</w:t>
            </w:r>
          </w:p>
        </w:tc>
      </w:tr>
      <w:tr>
        <w:tc>
          <w:tcPr>
            <w:tcW w:type="dxa" w:w="4320"/>
          </w:tcPr>
          <w:p>
            <w:r>
              <w:t>Ground-point density (pts/m² / pts/ft²)</w:t>
            </w:r>
          </w:p>
        </w:tc>
        <w:tc>
          <w:tcPr>
            <w:tcW w:type="dxa" w:w="4320"/>
          </w:tcPr>
          <w:p>
            <w:r>
              <w:t>2.06 pts/m² (0.19 pts/ft²)</w:t>
            </w:r>
          </w:p>
        </w:tc>
      </w:tr>
      <w:tr>
        <w:tc>
          <w:tcPr>
            <w:tcW w:type="dxa" w:w="4320"/>
          </w:tcPr>
          <w:p>
            <w:r>
              <w:t>Interpolated DEM cells (no ground return)</w:t>
            </w:r>
          </w:p>
        </w:tc>
        <w:tc>
          <w:tcPr>
            <w:tcW w:type="dxa" w:w="4320"/>
          </w:tcPr>
          <w:p>
            <w:r>
              <w:t>70.91 %</w:t>
            </w:r>
          </w:p>
        </w:tc>
      </w:tr>
      <w:tr>
        <w:tc>
          <w:tcPr>
            <w:tcW w:type="dxa" w:w="4320"/>
          </w:tcPr>
          <w:p>
            <w:r>
              <w:t>Ground fraction</w:t>
            </w:r>
          </w:p>
        </w:tc>
        <w:tc>
          <w:tcPr>
            <w:tcW w:type="dxa" w:w="4320"/>
          </w:tcPr>
          <w:p>
            <w:r>
              <w:t>-</w:t>
            </w:r>
          </w:p>
        </w:tc>
      </w:tr>
      <w:tr>
        <w:tc>
          <w:tcPr>
            <w:tcW w:type="dxa" w:w="4320"/>
          </w:tcPr>
          <w:p>
            <w:r>
              <w:t>Area (km² / ac)</w:t>
            </w:r>
          </w:p>
        </w:tc>
        <w:tc>
          <w:tcPr>
            <w:tcW w:type="dxa" w:w="4320"/>
          </w:tcPr>
          <w:p>
            <w:r>
              <w:t>0.3563 km² (88.0 ac)</w:t>
            </w:r>
          </w:p>
        </w:tc>
      </w:tr>
    </w:tbl>
    <w:p>
      <w:r>
        <w:rPr>
          <w:b/>
        </w:rPr>
        <w:t>DEM uncertainty summary</w:t>
      </w:r>
    </w:p>
    <w:tbl>
      <w:tblPr>
        <w:tblStyle w:val="LightGrid-Accent1"/>
        <w:tblW w:type="auto" w:w="0"/>
        <w:tblLook w:firstColumn="1" w:firstRow="1" w:lastColumn="0" w:lastRow="0" w:noHBand="0" w:noVBand="1" w:val="04A0"/>
      </w:tblPr>
      <w:tblGrid>
        <w:gridCol w:w="4320"/>
        <w:gridCol w:w="4320"/>
      </w:tblGrid>
      <w:tr>
        <w:tc>
          <w:tcPr>
            <w:tcW w:type="dxa" w:w="4320"/>
          </w:tcPr>
          <w:p>
            <w:r>
              <w:rPr>
                <w:b/>
              </w:rPr>
              <w:t>Metric</w:t>
            </w:r>
          </w:p>
        </w:tc>
        <w:tc>
          <w:tcPr>
            <w:tcW w:type="dxa" w:w="4320"/>
          </w:tcPr>
          <w:p>
            <w:r>
              <w:rPr>
                <w:b/>
              </w:rPr>
              <w:t>Value</w:t>
            </w:r>
          </w:p>
        </w:tc>
      </w:tr>
      <w:tr>
        <w:tc>
          <w:tcPr>
            <w:tcW w:type="dxa" w:w="4320"/>
          </w:tcPr>
          <w:p>
            <w:r>
              <w:t>Tolerance (m / ft)</w:t>
            </w:r>
          </w:p>
        </w:tc>
        <w:tc>
          <w:tcPr>
            <w:tcW w:type="dxa" w:w="4320"/>
          </w:tcPr>
          <w:p>
            <w:r>
              <w:t>0.150 m (0.492 ft)</w:t>
            </w:r>
          </w:p>
        </w:tc>
      </w:tr>
      <w:tr>
        <w:tc>
          <w:tcPr>
            <w:tcW w:type="dxa" w:w="4320"/>
          </w:tcPr>
          <w:p>
            <w:r>
              <w:t>% within tolerance</w:t>
            </w:r>
          </w:p>
        </w:tc>
        <w:tc>
          <w:tcPr>
            <w:tcW w:type="dxa" w:w="4320"/>
          </w:tcPr>
          <w:p>
            <w:r>
              <w:t>87.28 %</w:t>
            </w:r>
          </w:p>
        </w:tc>
      </w:tr>
      <w:tr>
        <w:tc>
          <w:tcPr>
            <w:tcW w:type="dxa" w:w="4320"/>
          </w:tcPr>
          <w:p>
            <w:r>
              <w:t>Valid cells</w:t>
            </w:r>
          </w:p>
        </w:tc>
        <w:tc>
          <w:tcPr>
            <w:tcW w:type="dxa" w:w="4320"/>
          </w:tcPr>
          <w:p>
            <w:r>
              <w:t>1,425,348</w:t>
            </w:r>
          </w:p>
        </w:tc>
      </w:tr>
      <w:tr>
        <w:tc>
          <w:tcPr>
            <w:tcW w:type="dxa" w:w="4320"/>
          </w:tcPr>
          <w:p>
            <w:r>
              <w:t>Mean index (m / ft)</w:t>
            </w:r>
          </w:p>
        </w:tc>
        <w:tc>
          <w:tcPr>
            <w:tcW w:type="dxa" w:w="4320"/>
          </w:tcPr>
          <w:p>
            <w:r>
              <w:t>0.115 m (0.377 ft)</w:t>
            </w:r>
          </w:p>
        </w:tc>
      </w:tr>
      <w:tr>
        <w:tc>
          <w:tcPr>
            <w:tcW w:type="dxa" w:w="4320"/>
          </w:tcPr>
          <w:p>
            <w:r>
              <w:t>Median index (m / ft)</w:t>
            </w:r>
          </w:p>
        </w:tc>
        <w:tc>
          <w:tcPr>
            <w:tcW w:type="dxa" w:w="4320"/>
          </w:tcPr>
          <w:p>
            <w:r>
              <w:t>0.000 m (0.000 ft)</w:t>
            </w:r>
          </w:p>
        </w:tc>
      </w:tr>
      <w:tr>
        <w:tc>
          <w:tcPr>
            <w:tcW w:type="dxa" w:w="4320"/>
          </w:tcPr>
          <w:p>
            <w:r>
              <w:t>p95 index (m / ft)</w:t>
            </w:r>
          </w:p>
        </w:tc>
        <w:tc>
          <w:tcPr>
            <w:tcW w:type="dxa" w:w="4320"/>
          </w:tcPr>
          <w:p>
            <w:r>
              <w:t>1.000 m (3.281 ft)</w:t>
            </w:r>
          </w:p>
        </w:tc>
      </w:tr>
      <w:tr>
        <w:tc>
          <w:tcPr>
            <w:tcW w:type="dxa" w:w="4320"/>
          </w:tcPr>
          <w:p>
            <w:r>
              <w:t>Max index (m / ft)</w:t>
            </w:r>
          </w:p>
        </w:tc>
        <w:tc>
          <w:tcPr>
            <w:tcW w:type="dxa" w:w="4320"/>
          </w:tcPr>
          <w:p>
            <w:r>
              <w:t>1.000 m (3.281 ft)</w:t>
            </w:r>
          </w:p>
        </w:tc>
      </w:tr>
      <w:tr>
        <w:tc>
          <w:tcPr>
            <w:tcW w:type="dxa" w:w="4320"/>
          </w:tcPr>
          <w:p>
            <w:r>
              <w:t>Source</w:t>
            </w:r>
          </w:p>
        </w:tc>
        <w:tc>
          <w:tcPr>
            <w:tcW w:type="dxa" w:w="4320"/>
          </w:tcPr>
          <w:p>
            <w:r>
              <w:t>DEM_uncertainty.tif</w:t>
            </w:r>
          </w:p>
        </w:tc>
      </w:tr>
    </w:tbl>
    <w:p>
      <w:r>
        <w:rPr>
          <w:b/>
        </w:rPr>
        <w:t>Accuracy headline</w:t>
      </w:r>
    </w:p>
    <w:p>
      <w:r>
        <w:t>Not available — no surveyed checkpoints; see the 3DEP vertical-agreement block in the Accuracy &amp; Validation section.</w:t>
      </w:r>
    </w:p>
    <w:p>
      <w:pPr>
        <w:pStyle w:val="Heading1"/>
      </w:pPr>
      <w:r>
        <w:rPr>
          <w:color w:val="121A24"/>
        </w:rPr>
        <w:t>6. Accuracy &amp; Validation</w:t>
      </w:r>
    </w:p>
    <w:p>
      <w:r>
        <w:t>No surveyed checkpoints were supplied; a formal ASPRS Edition 1 / Edition 2 accuracy statement could not be computed. Where available, surface-to-surface agreement against the USGS 3DEP reference surface is reported below.</w:t>
      </w:r>
    </w:p>
    <w:p>
      <w:pPr>
        <w:pStyle w:val="Heading2"/>
      </w:pPr>
      <w:r>
        <w:rPr>
          <w:color w:val="202A36"/>
        </w:rPr>
        <w:t>Vertical agreement vs USGS 3DEP reference surface</w:t>
      </w:r>
    </w:p>
    <w:tbl>
      <w:tblPr>
        <w:tblStyle w:val="LightGrid-Accent1"/>
        <w:tblW w:type="auto" w:w="0"/>
        <w:tblLook w:firstColumn="1" w:firstRow="1" w:lastColumn="0" w:lastRow="0" w:noHBand="0" w:noVBand="1" w:val="04A0"/>
      </w:tblPr>
      <w:tblGrid>
        <w:gridCol w:w="4320"/>
        <w:gridCol w:w="4320"/>
      </w:tblGrid>
      <w:tr>
        <w:tc>
          <w:tcPr>
            <w:tcW w:type="dxa" w:w="4320"/>
          </w:tcPr>
          <w:p>
            <w:r>
              <w:rPr>
                <w:b/>
              </w:rPr>
              <w:t>3DEP agreement</w:t>
            </w:r>
          </w:p>
        </w:tc>
        <w:tc>
          <w:tcPr>
            <w:tcW w:type="dxa" w:w="4320"/>
          </w:tcPr>
          <w:p>
            <w:r>
              <w:rPr>
                <w:b/>
              </w:rPr>
              <w:t>Value</w:t>
            </w:r>
          </w:p>
        </w:tc>
      </w:tr>
      <w:tr>
        <w:tc>
          <w:tcPr>
            <w:tcW w:type="dxa" w:w="4320"/>
          </w:tcPr>
          <w:p>
            <w:r>
              <w:t>Samples (n)</w:t>
            </w:r>
          </w:p>
        </w:tc>
        <w:tc>
          <w:tcPr>
            <w:tcW w:type="dxa" w:w="4320"/>
          </w:tcPr>
          <w:p>
            <w:r>
              <w:t>40</w:t>
            </w:r>
          </w:p>
        </w:tc>
      </w:tr>
      <w:tr>
        <w:tc>
          <w:tcPr>
            <w:tcW w:type="dxa" w:w="4320"/>
          </w:tcPr>
          <w:p>
            <w:r>
              <w:t>Signed mean bias (m / ft)</w:t>
            </w:r>
          </w:p>
        </w:tc>
        <w:tc>
          <w:tcPr>
            <w:tcW w:type="dxa" w:w="4320"/>
          </w:tcPr>
          <w:p>
            <w:r>
              <w:t>0.115 m (0.377 ft)  (DEM - 3DEP)</w:t>
            </w:r>
          </w:p>
        </w:tc>
      </w:tr>
      <w:tr>
        <w:tc>
          <w:tcPr>
            <w:tcW w:type="dxa" w:w="4320"/>
          </w:tcPr>
          <w:p>
            <w:r>
              <w:t>RMSEz (m / ft)</w:t>
            </w:r>
          </w:p>
        </w:tc>
        <w:tc>
          <w:tcPr>
            <w:tcW w:type="dxa" w:w="4320"/>
          </w:tcPr>
          <w:p>
            <w:r>
              <w:t>0.400 m (1.312 ft)</w:t>
            </w:r>
          </w:p>
        </w:tc>
      </w:tr>
      <w:tr>
        <w:tc>
          <w:tcPr>
            <w:tcW w:type="dxa" w:w="4320"/>
          </w:tcPr>
          <w:p>
            <w:r>
              <w:t>Std dev (m / ft)</w:t>
            </w:r>
          </w:p>
        </w:tc>
        <w:tc>
          <w:tcPr>
            <w:tcW w:type="dxa" w:w="4320"/>
          </w:tcPr>
          <w:p>
            <w:r>
              <w:t>0.383 m (1.257 ft)</w:t>
            </w:r>
          </w:p>
        </w:tc>
      </w:tr>
      <w:tr>
        <w:tc>
          <w:tcPr>
            <w:tcW w:type="dxa" w:w="4320"/>
          </w:tcPr>
          <w:p>
            <w:r>
              <w:t>Min / max residual (m / ft)</w:t>
            </w:r>
          </w:p>
        </w:tc>
        <w:tc>
          <w:tcPr>
            <w:tcW w:type="dxa" w:w="4320"/>
          </w:tcPr>
          <w:p>
            <w:r>
              <w:t>-1.082 m (-3.550 ft) / 1.266 m (4.154 ft)</w:t>
            </w:r>
          </w:p>
        </w:tc>
      </w:tr>
      <w:tr>
        <w:tc>
          <w:tcPr>
            <w:tcW w:type="dxa" w:w="4320"/>
          </w:tcPr>
          <w:p>
            <w:r>
              <w:t>NVA-style 95% (m / ft)</w:t>
            </w:r>
          </w:p>
        </w:tc>
        <w:tc>
          <w:tcPr>
            <w:tcW w:type="dxa" w:w="4320"/>
          </w:tcPr>
          <w:p>
            <w:r>
              <w:t>0.785 m (2.575 ft)  (1.96 x RMSEz)</w:t>
            </w:r>
          </w:p>
        </w:tc>
      </w:tr>
    </w:tbl>
    <w:p>
      <w:r>
        <w:rPr>
          <w:i/>
          <w:color w:val="A05000"/>
          <w:sz w:val="17"/>
        </w:rPr>
        <w:t>EPQS = NAVD88 orthometric vs DEM = WGS84 ellipsoidal: the MEAN ≈ geoid offset (~−27 m in FL), and std / rmse_debiased is the true agreement (also limited by 3DEP's ~1 m resolution).  Confidence-gated (DEM uncertainty index &lt;= 0.00) + spatially stratified across the AOI.  USGS 3DEP is an independent reference SURFACE, not surveyed checkpoints — these are surface-to-surface agreement statistics, NOT a formal ASPRS NVA/VVA.</w:t>
      </w:r>
    </w:p>
    <w:p>
      <w:pPr>
        <w:pStyle w:val="Heading1"/>
      </w:pPr>
      <w:r>
        <w:rPr>
          <w:color w:val="121A24"/>
        </w:rPr>
        <w:t>Point classification summary</w:t>
      </w:r>
    </w:p>
    <w:p>
      <w:r>
        <w:t>ASPRS semantic classes assigned to the delivered point cloud (final_ellipsoidal_z_merged.las). 3,267,073 classified points.</w:t>
      </w:r>
    </w:p>
    <w:tbl>
      <w:tblPr>
        <w:tblStyle w:val="LightGrid-Accent1"/>
        <w:tblW w:type="auto" w:w="0"/>
        <w:tblLook w:firstColumn="1" w:firstRow="1" w:lastColumn="0" w:lastRow="0" w:noHBand="0" w:noVBand="1" w:val="04A0"/>
      </w:tblPr>
      <w:tblGrid>
        <w:gridCol w:w="2880"/>
        <w:gridCol w:w="2880"/>
        <w:gridCol w:w="2880"/>
      </w:tblGrid>
      <w:tr>
        <w:tc>
          <w:tcPr>
            <w:tcW w:type="dxa" w:w="2880"/>
          </w:tcPr>
          <w:p>
            <w:r>
              <w:rPr>
                <w:b/>
              </w:rPr>
              <w:t>Class</w:t>
            </w:r>
          </w:p>
        </w:tc>
        <w:tc>
          <w:tcPr>
            <w:tcW w:type="dxa" w:w="2880"/>
          </w:tcPr>
          <w:p>
            <w:r>
              <w:rPr>
                <w:b/>
              </w:rPr>
              <w:t>Points</w:t>
            </w:r>
          </w:p>
        </w:tc>
        <w:tc>
          <w:tcPr>
            <w:tcW w:type="dxa" w:w="2880"/>
          </w:tcPr>
          <w:p>
            <w:r>
              <w:rPr>
                <w:b/>
              </w:rPr>
              <w:t>%</w:t>
            </w:r>
          </w:p>
        </w:tc>
      </w:tr>
      <w:tr>
        <w:tc>
          <w:tcPr>
            <w:tcW w:type="dxa" w:w="2880"/>
          </w:tcPr>
          <w:p>
            <w:r>
              <w:t>High veg (5)</w:t>
            </w:r>
          </w:p>
        </w:tc>
        <w:tc>
          <w:tcPr>
            <w:tcW w:type="dxa" w:w="2880"/>
          </w:tcPr>
          <w:p>
            <w:r>
              <w:t>1,700,658</w:t>
            </w:r>
          </w:p>
        </w:tc>
        <w:tc>
          <w:tcPr>
            <w:tcW w:type="dxa" w:w="2880"/>
          </w:tcPr>
          <w:p>
            <w:r>
              <w:t>52.05 %</w:t>
            </w:r>
          </w:p>
        </w:tc>
      </w:tr>
      <w:tr>
        <w:tc>
          <w:tcPr>
            <w:tcW w:type="dxa" w:w="2880"/>
          </w:tcPr>
          <w:p>
            <w:r>
              <w:t>Ground (2)</w:t>
            </w:r>
          </w:p>
        </w:tc>
        <w:tc>
          <w:tcPr>
            <w:tcW w:type="dxa" w:w="2880"/>
          </w:tcPr>
          <w:p>
            <w:r>
              <w:t>734,500</w:t>
            </w:r>
          </w:p>
        </w:tc>
        <w:tc>
          <w:tcPr>
            <w:tcW w:type="dxa" w:w="2880"/>
          </w:tcPr>
          <w:p>
            <w:r>
              <w:t>22.48 %</w:t>
            </w:r>
          </w:p>
        </w:tc>
      </w:tr>
      <w:tr>
        <w:tc>
          <w:tcPr>
            <w:tcW w:type="dxa" w:w="2880"/>
          </w:tcPr>
          <w:p>
            <w:r>
              <w:t>Med veg (4)</w:t>
            </w:r>
          </w:p>
        </w:tc>
        <w:tc>
          <w:tcPr>
            <w:tcW w:type="dxa" w:w="2880"/>
          </w:tcPr>
          <w:p>
            <w:r>
              <w:t>364,193</w:t>
            </w:r>
          </w:p>
        </w:tc>
        <w:tc>
          <w:tcPr>
            <w:tcW w:type="dxa" w:w="2880"/>
          </w:tcPr>
          <w:p>
            <w:r>
              <w:t>11.15 %</w:t>
            </w:r>
          </w:p>
        </w:tc>
      </w:tr>
      <w:tr>
        <w:tc>
          <w:tcPr>
            <w:tcW w:type="dxa" w:w="2880"/>
          </w:tcPr>
          <w:p>
            <w:r>
              <w:t>Low veg (3)</w:t>
            </w:r>
          </w:p>
        </w:tc>
        <w:tc>
          <w:tcPr>
            <w:tcW w:type="dxa" w:w="2880"/>
          </w:tcPr>
          <w:p>
            <w:r>
              <w:t>241,323</w:t>
            </w:r>
          </w:p>
        </w:tc>
        <w:tc>
          <w:tcPr>
            <w:tcW w:type="dxa" w:w="2880"/>
          </w:tcPr>
          <w:p>
            <w:r>
              <w:t>7.39 %</w:t>
            </w:r>
          </w:p>
        </w:tc>
      </w:tr>
      <w:tr>
        <w:tc>
          <w:tcPr>
            <w:tcW w:type="dxa" w:w="2880"/>
          </w:tcPr>
          <w:p>
            <w:r>
              <w:t>Building (6)</w:t>
            </w:r>
          </w:p>
        </w:tc>
        <w:tc>
          <w:tcPr>
            <w:tcW w:type="dxa" w:w="2880"/>
          </w:tcPr>
          <w:p>
            <w:r>
              <w:t>121,742</w:t>
            </w:r>
          </w:p>
        </w:tc>
        <w:tc>
          <w:tcPr>
            <w:tcW w:type="dxa" w:w="2880"/>
          </w:tcPr>
          <w:p>
            <w:r>
              <w:t>3.73 %</w:t>
            </w:r>
          </w:p>
        </w:tc>
      </w:tr>
      <w:tr>
        <w:tc>
          <w:tcPr>
            <w:tcW w:type="dxa" w:w="2880"/>
          </w:tcPr>
          <w:p>
            <w:r>
              <w:t>Water (9)</w:t>
            </w:r>
          </w:p>
        </w:tc>
        <w:tc>
          <w:tcPr>
            <w:tcW w:type="dxa" w:w="2880"/>
          </w:tcPr>
          <w:p>
            <w:r>
              <w:t>68,906</w:t>
            </w:r>
          </w:p>
        </w:tc>
        <w:tc>
          <w:tcPr>
            <w:tcW w:type="dxa" w:w="2880"/>
          </w:tcPr>
          <w:p>
            <w:r>
              <w:t>2.11 %</w:t>
            </w:r>
          </w:p>
        </w:tc>
      </w:tr>
      <w:tr>
        <w:tc>
          <w:tcPr>
            <w:tcW w:type="dxa" w:w="2880"/>
          </w:tcPr>
          <w:p>
            <w:r>
              <w:t>Unclassified (1)</w:t>
            </w:r>
          </w:p>
        </w:tc>
        <w:tc>
          <w:tcPr>
            <w:tcW w:type="dxa" w:w="2880"/>
          </w:tcPr>
          <w:p>
            <w:r>
              <w:t>35,748</w:t>
            </w:r>
          </w:p>
        </w:tc>
        <w:tc>
          <w:tcPr>
            <w:tcW w:type="dxa" w:w="2880"/>
          </w:tcPr>
          <w:p>
            <w:r>
              <w:t>1.09 %</w:t>
            </w:r>
          </w:p>
        </w:tc>
      </w:tr>
      <w:tr>
        <w:tc>
          <w:tcPr>
            <w:tcW w:type="dxa" w:w="2880"/>
          </w:tcPr>
          <w:p>
            <w:r>
              <w:t>Noise (7)</w:t>
            </w:r>
          </w:p>
        </w:tc>
        <w:tc>
          <w:tcPr>
            <w:tcW w:type="dxa" w:w="2880"/>
          </w:tcPr>
          <w:p>
            <w:r>
              <w:t>3</w:t>
            </w:r>
          </w:p>
        </w:tc>
        <w:tc>
          <w:tcPr>
            <w:tcW w:type="dxa" w:w="2880"/>
          </w:tcPr>
          <w:p>
            <w:r>
              <w:t>0.00 %</w:t>
            </w:r>
          </w:p>
        </w:tc>
      </w:tr>
    </w:tbl>
    <w:p>
      <w:pPr>
        <w:pStyle w:val="Heading1"/>
      </w:pPr>
      <w:r>
        <w:rPr>
          <w:color w:val="121A24"/>
        </w:rPr>
        <w:t>Horizontal Alignment — Co-registration</w:t>
      </w:r>
    </w:p>
    <w:p>
      <w:r>
        <w:t>Reference surface: USGS 3DEP (NAVD88, seamless best-available). The planimetric shift (and any residual vertical bias) of the DEM relative to the reference was recovered by Nuth &amp; Kääb (2011) co-registration over sloped, multi-aspect terrain.</w:t>
      </w:r>
    </w:p>
    <w:tbl>
      <w:tblPr>
        <w:tblStyle w:val="LightGrid-Accent1"/>
        <w:tblW w:type="auto" w:w="0"/>
        <w:tblLook w:firstColumn="1" w:firstRow="1" w:lastColumn="0" w:lastRow="0" w:noHBand="0" w:noVBand="1" w:val="04A0"/>
      </w:tblPr>
      <w:tblGrid>
        <w:gridCol w:w="4320"/>
        <w:gridCol w:w="4320"/>
      </w:tblGrid>
      <w:tr>
        <w:tc>
          <w:tcPr>
            <w:tcW w:type="dxa" w:w="4320"/>
          </w:tcPr>
          <w:p>
            <w:r>
              <w:rPr>
                <w:b/>
              </w:rPr>
              <w:t>Co-registration</w:t>
            </w:r>
          </w:p>
        </w:tc>
        <w:tc>
          <w:tcPr>
            <w:tcW w:type="dxa" w:w="4320"/>
          </w:tcPr>
          <w:p>
            <w:r>
              <w:rPr>
                <w:b/>
              </w:rPr>
              <w:t>Value</w:t>
            </w:r>
          </w:p>
        </w:tc>
      </w:tr>
      <w:tr>
        <w:tc>
          <w:tcPr>
            <w:tcW w:type="dxa" w:w="4320"/>
          </w:tcPr>
          <w:p>
            <w:r>
              <w:t>Resolvable</w:t>
            </w:r>
          </w:p>
        </w:tc>
        <w:tc>
          <w:tcPr>
            <w:tcW w:type="dxa" w:w="4320"/>
          </w:tcPr>
          <w:p>
            <w:r>
              <w:t>Yes</w:t>
            </w:r>
          </w:p>
        </w:tc>
      </w:tr>
      <w:tr>
        <w:tc>
          <w:tcPr>
            <w:tcW w:type="dxa" w:w="4320"/>
          </w:tcPr>
          <w:p>
            <w:r>
              <w:t>Shift east (dx)</w:t>
            </w:r>
          </w:p>
        </w:tc>
        <w:tc>
          <w:tcPr>
            <w:tcW w:type="dxa" w:w="4320"/>
          </w:tcPr>
          <w:p>
            <w:r>
              <w:t>-0.135 m (-0.443 ft)</w:t>
            </w:r>
          </w:p>
        </w:tc>
      </w:tr>
      <w:tr>
        <w:tc>
          <w:tcPr>
            <w:tcW w:type="dxa" w:w="4320"/>
          </w:tcPr>
          <w:p>
            <w:r>
              <w:t>Shift north (dy)</w:t>
            </w:r>
          </w:p>
        </w:tc>
        <w:tc>
          <w:tcPr>
            <w:tcW w:type="dxa" w:w="4320"/>
          </w:tcPr>
          <w:p>
            <w:r>
              <w:t>0.916 m (3.005 ft)</w:t>
            </w:r>
          </w:p>
        </w:tc>
      </w:tr>
      <w:tr>
        <w:tc>
          <w:tcPr>
            <w:tcW w:type="dxa" w:w="4320"/>
          </w:tcPr>
          <w:p>
            <w:r>
              <w:t>Shift magnitude</w:t>
            </w:r>
          </w:p>
        </w:tc>
        <w:tc>
          <w:tcPr>
            <w:tcW w:type="dxa" w:w="4320"/>
          </w:tcPr>
          <w:p>
            <w:r>
              <w:t>0.926 m (3.038 ft) @ 351.6°</w:t>
            </w:r>
          </w:p>
        </w:tc>
      </w:tr>
      <w:tr>
        <w:tc>
          <w:tcPr>
            <w:tcW w:type="dxa" w:w="4320"/>
          </w:tcPr>
          <w:p>
            <w:r>
              <w:t>Residual vertical bias (dz)</w:t>
            </w:r>
          </w:p>
        </w:tc>
        <w:tc>
          <w:tcPr>
            <w:tcW w:type="dxa" w:w="4320"/>
          </w:tcPr>
          <w:p>
            <w:r>
              <w:t>0.026 m (0.086 ft)</w:t>
            </w:r>
          </w:p>
        </w:tc>
      </w:tr>
      <w:tr>
        <w:tc>
          <w:tcPr>
            <w:tcW w:type="dxa" w:w="4320"/>
          </w:tcPr>
          <w:p>
            <w:r>
              <w:t>Sigma XY / cross-track</w:t>
            </w:r>
          </w:p>
        </w:tc>
        <w:tc>
          <w:tcPr>
            <w:tcW w:type="dxa" w:w="4320"/>
          </w:tcPr>
          <w:p>
            <w:r>
              <w:t>0.001 m (0.004 ft) / 0.001 m (0.004 ft)</w:t>
            </w:r>
          </w:p>
        </w:tc>
      </w:tr>
      <w:tr>
        <w:tc>
          <w:tcPr>
            <w:tcW w:type="dxa" w:w="4320"/>
          </w:tcPr>
          <w:p>
            <w:r>
              <w:t>dh NMAD (before → after)</w:t>
            </w:r>
          </w:p>
        </w:tc>
        <w:tc>
          <w:tcPr>
            <w:tcW w:type="dxa" w:w="4320"/>
          </w:tcPr>
          <w:p>
            <w:r>
              <w:t>0.140 m (0.460 ft) → 0.118 m (0.387 ft)</w:t>
            </w:r>
          </w:p>
        </w:tc>
      </w:tr>
      <w:tr>
        <w:tc>
          <w:tcPr>
            <w:tcW w:type="dxa" w:w="4320"/>
          </w:tcPr>
          <w:p>
            <w:r>
              <w:t>dh RMSE (before → after)</w:t>
            </w:r>
          </w:p>
        </w:tc>
        <w:tc>
          <w:tcPr>
            <w:tcW w:type="dxa" w:w="4320"/>
          </w:tcPr>
          <w:p>
            <w:r>
              <w:t>0.371 m (1.218 ft) → 0.369 m (1.212 ft)</w:t>
            </w:r>
          </w:p>
        </w:tc>
      </w:tr>
      <w:tr>
        <w:tc>
          <w:tcPr>
            <w:tcW w:type="dxa" w:w="4320"/>
          </w:tcPr>
          <w:p>
            <w:r>
              <w:t>Iterations</w:t>
            </w:r>
          </w:p>
        </w:tc>
        <w:tc>
          <w:tcPr>
            <w:tcW w:type="dxa" w:w="4320"/>
          </w:tcPr>
          <w:p>
            <w:r>
              <w:t>4 (converged)</w:t>
            </w:r>
          </w:p>
        </w:tc>
      </w:tr>
      <w:tr>
        <w:tc>
          <w:tcPr>
            <w:tcW w:type="dxa" w:w="4320"/>
          </w:tcPr>
          <w:p>
            <w:r>
              <w:t>Inlier cells</w:t>
            </w:r>
          </w:p>
        </w:tc>
        <w:tc>
          <w:tcPr>
            <w:tcW w:type="dxa" w:w="4320"/>
          </w:tcPr>
          <w:p>
            <w:r>
              <w:t>857,219</w:t>
            </w:r>
          </w:p>
        </w:tc>
      </w:tr>
      <w:tr>
        <w:tc>
          <w:tcPr>
            <w:tcW w:type="dxa" w:w="4320"/>
          </w:tcPr>
          <w:p>
            <w:r>
              <w:t>Sloped fraction</w:t>
            </w:r>
          </w:p>
        </w:tc>
        <w:tc>
          <w:tcPr>
            <w:tcW w:type="dxa" w:w="4320"/>
          </w:tcPr>
          <w:p>
            <w:r>
              <w:t>0.681</w:t>
            </w:r>
          </w:p>
        </w:tc>
      </w:tr>
      <w:tr>
        <w:tc>
          <w:tcPr>
            <w:tcW w:type="dxa" w:w="4320"/>
          </w:tcPr>
          <w:p>
            <w:r>
              <w:t>Aspect octants used</w:t>
            </w:r>
          </w:p>
        </w:tc>
        <w:tc>
          <w:tcPr>
            <w:tcW w:type="dxa" w:w="4320"/>
          </w:tcPr>
          <w:p>
            <w:r>
              <w:t>8 / 8</w:t>
            </w:r>
          </w:p>
        </w:tc>
      </w:tr>
    </w:tbl>
    <w:p>
      <w:r>
        <w:drawing>
          <wp:inline xmlns:a="http://schemas.openxmlformats.org/drawingml/2006/main" xmlns:pic="http://schemas.openxmlformats.org/drawingml/2006/picture">
            <wp:extent cx="5760720" cy="2640330"/>
            <wp:docPr id="1" name="Picture 1"/>
            <wp:cNvGraphicFramePr>
              <a:graphicFrameLocks noChangeAspect="1"/>
            </wp:cNvGraphicFramePr>
            <a:graphic>
              <a:graphicData uri="http://schemas.openxmlformats.org/drawingml/2006/picture">
                <pic:pic>
                  <pic:nvPicPr>
                    <pic:cNvPr id="0" name="coregistration.png"/>
                    <pic:cNvPicPr/>
                  </pic:nvPicPr>
                  <pic:blipFill>
                    <a:blip r:embed="rId9"/>
                    <a:stretch>
                      <a:fillRect/>
                    </a:stretch>
                  </pic:blipFill>
                  <pic:spPr>
                    <a:xfrm>
                      <a:off x="0" y="0"/>
                      <a:ext cx="5760720" cy="2640330"/>
                    </a:xfrm>
                    <a:prstGeom prst="rect"/>
                  </pic:spPr>
                </pic:pic>
              </a:graphicData>
            </a:graphic>
          </wp:inline>
        </w:drawing>
      </w:r>
    </w:p>
    <w:p>
      <w:r>
        <w:rPr>
          <w:i/>
          <w:color w:val="5A6672"/>
          <w:sz w:val="17"/>
        </w:rPr>
        <w:t>Estimate only — the shift was NOT applied; products remain in their original position. The figures above quantify the residual misalignment.</w:t>
      </w:r>
    </w:p>
    <w:p>
      <w:pPr>
        <w:pStyle w:val="Heading1"/>
      </w:pPr>
      <w:r>
        <w:rPr>
          <w:color w:val="121A24"/>
        </w:rPr>
        <w:t>7. Figures</w:t>
      </w:r>
    </w:p>
    <w:p>
      <w:r>
        <w:rPr>
          <w:b/>
        </w:rPr>
        <w:t>Bare-earth DEM — shaded relief (illumination 315°, 45°)</w:t>
      </w:r>
    </w:p>
    <w:p>
      <w:r>
        <w:drawing>
          <wp:inline xmlns:a="http://schemas.openxmlformats.org/drawingml/2006/main" xmlns:pic="http://schemas.openxmlformats.org/drawingml/2006/picture">
            <wp:extent cx="5760720" cy="3520440"/>
            <wp:docPr id="2" name="Picture 2"/>
            <wp:cNvGraphicFramePr>
              <a:graphicFrameLocks noChangeAspect="1"/>
            </wp:cNvGraphicFramePr>
            <a:graphic>
              <a:graphicData uri="http://schemas.openxmlformats.org/drawingml/2006/picture">
                <pic:pic>
                  <pic:nvPicPr>
                    <pic:cNvPr id="0" name="dem.png"/>
                    <pic:cNvPicPr/>
                  </pic:nvPicPr>
                  <pic:blipFill>
                    <a:blip r:embed="rId10"/>
                    <a:stretch>
                      <a:fillRect/>
                    </a:stretch>
                  </pic:blipFill>
                  <pic:spPr>
                    <a:xfrm>
                      <a:off x="0" y="0"/>
                      <a:ext cx="5760720" cy="3520440"/>
                    </a:xfrm>
                    <a:prstGeom prst="rect"/>
                  </pic:spPr>
                </pic:pic>
              </a:graphicData>
            </a:graphic>
          </wp:inline>
        </w:drawing>
      </w:r>
    </w:p>
    <w:p>
      <w:r>
        <w:rPr>
          <w:b/>
        </w:rPr>
        <w:t>Digital Surface Model (DSM) — shaded relief</w:t>
      </w:r>
    </w:p>
    <w:p>
      <w:r>
        <w:drawing>
          <wp:inline xmlns:a="http://schemas.openxmlformats.org/drawingml/2006/main" xmlns:pic="http://schemas.openxmlformats.org/drawingml/2006/picture">
            <wp:extent cx="5760720" cy="3520440"/>
            <wp:docPr id="3" name="Picture 3"/>
            <wp:cNvGraphicFramePr>
              <a:graphicFrameLocks noChangeAspect="1"/>
            </wp:cNvGraphicFramePr>
            <a:graphic>
              <a:graphicData uri="http://schemas.openxmlformats.org/drawingml/2006/picture">
                <pic:pic>
                  <pic:nvPicPr>
                    <pic:cNvPr id="0" name="dsm.png"/>
                    <pic:cNvPicPr/>
                  </pic:nvPicPr>
                  <pic:blipFill>
                    <a:blip r:embed="rId11"/>
                    <a:stretch>
                      <a:fillRect/>
                    </a:stretch>
                  </pic:blipFill>
                  <pic:spPr>
                    <a:xfrm>
                      <a:off x="0" y="0"/>
                      <a:ext cx="5760720" cy="3520440"/>
                    </a:xfrm>
                    <a:prstGeom prst="rect"/>
                  </pic:spPr>
                </pic:pic>
              </a:graphicData>
            </a:graphic>
          </wp:inline>
        </w:drawing>
      </w:r>
    </w:p>
    <w:p>
      <w:r>
        <w:rPr>
          <w:b/>
        </w:rPr>
        <w:t>Canopy Height Model (CHM) — shaded relief</w:t>
      </w:r>
    </w:p>
    <w:p>
      <w:r>
        <w:drawing>
          <wp:inline xmlns:a="http://schemas.openxmlformats.org/drawingml/2006/main" xmlns:pic="http://schemas.openxmlformats.org/drawingml/2006/picture">
            <wp:extent cx="5760720" cy="3520440"/>
            <wp:docPr id="4" name="Picture 4"/>
            <wp:cNvGraphicFramePr>
              <a:graphicFrameLocks noChangeAspect="1"/>
            </wp:cNvGraphicFramePr>
            <a:graphic>
              <a:graphicData uri="http://schemas.openxmlformats.org/drawingml/2006/picture">
                <pic:pic>
                  <pic:nvPicPr>
                    <pic:cNvPr id="0" name="chm.png"/>
                    <pic:cNvPicPr/>
                  </pic:nvPicPr>
                  <pic:blipFill>
                    <a:blip r:embed="rId12"/>
                    <a:stretch>
                      <a:fillRect/>
                    </a:stretch>
                  </pic:blipFill>
                  <pic:spPr>
                    <a:xfrm>
                      <a:off x="0" y="0"/>
                      <a:ext cx="5760720" cy="3520440"/>
                    </a:xfrm>
                    <a:prstGeom prst="rect"/>
                  </pic:spPr>
                </pic:pic>
              </a:graphicData>
            </a:graphic>
          </wp:inline>
        </w:drawing>
      </w:r>
    </w:p>
    <w:p>
      <w:r>
        <w:rPr>
          <w:b/>
        </w:rPr>
        <w:t>DEM uncertainty index — percent-within-tolerance map</w:t>
      </w:r>
    </w:p>
    <w:p>
      <w:r>
        <w:drawing>
          <wp:inline xmlns:a="http://schemas.openxmlformats.org/drawingml/2006/main" xmlns:pic="http://schemas.openxmlformats.org/drawingml/2006/picture">
            <wp:extent cx="5760720" cy="3680460"/>
            <wp:docPr id="5" name="Picture 5"/>
            <wp:cNvGraphicFramePr>
              <a:graphicFrameLocks noChangeAspect="1"/>
            </wp:cNvGraphicFramePr>
            <a:graphic>
              <a:graphicData uri="http://schemas.openxmlformats.org/drawingml/2006/picture">
                <pic:pic>
                  <pic:nvPicPr>
                    <pic:cNvPr id="0" name="unc.png"/>
                    <pic:cNvPicPr/>
                  </pic:nvPicPr>
                  <pic:blipFill>
                    <a:blip r:embed="rId13"/>
                    <a:stretch>
                      <a:fillRect/>
                    </a:stretch>
                  </pic:blipFill>
                  <pic:spPr>
                    <a:xfrm>
                      <a:off x="0" y="0"/>
                      <a:ext cx="5760720" cy="3680460"/>
                    </a:xfrm>
                    <a:prstGeom prst="rect"/>
                  </pic:spPr>
                </pic:pic>
              </a:graphicData>
            </a:graphic>
          </wp:inline>
        </w:drawing>
      </w:r>
    </w:p>
    <w:p>
      <w:pPr>
        <w:pStyle w:val="Heading1"/>
      </w:pPr>
      <w:r>
        <w:rPr>
          <w:color w:val="121A24"/>
        </w:rPr>
        <w:t>10. Methodology</w:t>
      </w:r>
    </w:p>
    <w:p>
      <w:r>
        <w:rPr>
          <w:b/>
        </w:rPr>
        <w:t>Pipeline</w:t>
      </w:r>
    </w:p>
    <w:p>
      <w:r>
        <w:t>The bare-earth DEM, surface model (DSM) and canopy height model (CHM) are produced by the PRISM·lidarcloud processing engine (proprietary). The DEM is the classified bare-ground surface at the published cell size; the DSM is the top surface (vegetation, structures and bare ground); the CHM is the height of features above the ground (CHM = DSM − DEM). A classified point cloud and a per-cell DEM uncertainty layer are delivered alongside the rasters.</w:t>
      </w:r>
    </w:p>
    <w:p>
      <w:r>
        <w:rPr>
          <w:b/>
        </w:rPr>
        <w:t>Datum &amp; geoid handling</w:t>
      </w:r>
    </w:p>
    <w:p>
      <w:r>
        <w:t>Products are reported in NAVD88 (GEOID18) (orthometric), derived from the WGS84 ellipsoidal input by applying the GEOID18 geoid model (H = h - N) per cell.</w:t>
      </w:r>
    </w:p>
    <w:p>
      <w:r>
        <w:rPr>
          <w:b/>
        </w:rPr>
        <w:t>Vertical accuracy method</w:t>
      </w:r>
    </w:p>
    <w:p>
      <w:r>
        <w:t>No surveyed vertical checkpoints were supplied, so a formal ASPRS NVA/VVA was not computed. Vertical agreement is instead reported against the USGS 3DEP reference surface (DEM minus 3DEP): signed mean bias, RMSEz, std, min/max and an NVA-style 95% (1.96 x RMSEz). This is surface-to-surface agreement against an independent reference surface, NOT a formal ASPRS checkpoint accuracy.</w:t>
      </w:r>
    </w:p>
    <w:p>
      <w:r>
        <w:rPr>
          <w:b/>
        </w:rPr>
        <w:t>Checkpoint method</w:t>
      </w:r>
    </w:p>
    <w:p>
      <w:r>
        <w:t>No control file was supplied; checkpoint analysis was not performed.</w:t>
      </w:r>
    </w:p>
    <w:p>
      <w:r>
        <w:rPr>
          <w:b/>
        </w:rPr>
        <w:t>3DEP / EPQS method</w:t>
      </w:r>
    </w:p>
    <w:p>
      <w:r>
        <w:t>An independent cross-check was performed against the USGS 3DEP Elevation Point Query Service (EPQS). Both the DEM and EPQS are NAVD88 orthometric, so the mean difference is the true vertical bias (no datum offset); the debiased RMSE / standard deviation is the agreement, itself bounded by 3DEP's ~1 m native resolution.</w:t>
      </w:r>
    </w:p>
    <w:p>
      <w:r>
        <w:rPr>
          <w:b/>
        </w:rPr>
        <w:t>Limitations</w:t>
      </w:r>
    </w:p>
    <w:p>
      <w:r>
        <w:t>Accuracy figures are bounded by the number and distribution of checkpoints and by the reference's own accuracy (per Edition-2 survey-error propagation). Datum shifts reported here, when not derived from a rigorous per-cell geoid grid, are first-order (constant bias or planar tilt) approximations. Vegetated vertical accuracy does not assume a normal error distribution. 3DEP cross-checks are limited by the reference DEM resolution.</w:t>
      </w:r>
    </w:p>
    <w:p>
      <w:r>
        <w:rPr>
          <w:b/>
        </w:rPr>
        <w:t>Responsible charge</w:t>
      </w:r>
    </w:p>
    <w:p>
      <w:r>
        <w:t>This positional-accuracy assessment was prepared under the responsible charge of a licensed Professional Surveyor and Mapper (PSM). The figures above are derived solely from the supplied control/checkpoint data and the delivered geospatial products; the signing surveyor affirms the methodology and results upon final review and signature.</w:t>
      </w:r>
    </w:p>
    <w:p>
      <w:pPr>
        <w:pStyle w:val="Heading1"/>
      </w:pPr>
      <w:r>
        <w:rPr>
          <w:color w:val="121A24"/>
        </w:rPr>
        <w:t>11. Provenance</w:t>
      </w:r>
    </w:p>
    <w:tbl>
      <w:tblPr>
        <w:tblStyle w:val="LightGrid-Accent1"/>
        <w:tblW w:type="auto" w:w="0"/>
        <w:tblLook w:firstColumn="1" w:firstRow="1" w:lastColumn="0" w:lastRow="0" w:noHBand="0" w:noVBand="1" w:val="04A0"/>
      </w:tblPr>
      <w:tblGrid>
        <w:gridCol w:w="4320"/>
        <w:gridCol w:w="4320"/>
      </w:tblGrid>
      <w:tr>
        <w:tc>
          <w:tcPr>
            <w:tcW w:type="dxa" w:w="4320"/>
          </w:tcPr>
          <w:p>
            <w:r>
              <w:rPr>
                <w:b/>
              </w:rPr>
              <w:t>Provenance</w:t>
            </w:r>
          </w:p>
        </w:tc>
        <w:tc>
          <w:tcPr>
            <w:tcW w:type="dxa" w:w="4320"/>
          </w:tcPr>
          <w:p>
            <w:r>
              <w:rPr>
                <w:b/>
              </w:rPr>
              <w:t>Value</w:t>
            </w:r>
          </w:p>
        </w:tc>
      </w:tr>
      <w:tr>
        <w:tc>
          <w:tcPr>
            <w:tcW w:type="dxa" w:w="4320"/>
          </w:tcPr>
          <w:p>
            <w:r>
              <w:t>Engine</w:t>
            </w:r>
          </w:p>
        </w:tc>
        <w:tc>
          <w:tcPr>
            <w:tcW w:type="dxa" w:w="4320"/>
          </w:tcPr>
          <w:p>
            <w:r>
              <w:t>PRISM·lidarcloud v5_4_10</w:t>
            </w:r>
          </w:p>
        </w:tc>
      </w:tr>
      <w:tr>
        <w:tc>
          <w:tcPr>
            <w:tcW w:type="dxa" w:w="4320"/>
          </w:tcPr>
          <w:p>
            <w:r>
              <w:t>Processing package (integration)</w:t>
            </w:r>
          </w:p>
        </w:tc>
        <w:tc>
          <w:tcPr>
            <w:tcW w:type="dxa" w:w="4320"/>
          </w:tcPr>
          <w:p>
            <w:r>
              <w:t>6.0.0-dev</w:t>
            </w:r>
          </w:p>
        </w:tc>
      </w:tr>
      <w:tr>
        <w:tc>
          <w:tcPr>
            <w:tcW w:type="dxa" w:w="4320"/>
          </w:tcPr>
          <w:p>
            <w:r>
              <w:t>run</w:t>
            </w:r>
          </w:p>
        </w:tc>
        <w:tc>
          <w:tcPr>
            <w:tcW w:type="dxa" w:w="4320"/>
          </w:tcPr>
          <w:p>
            <w:r>
              <w:t>2026-07-03T20:19:13+00:00</w:t>
            </w:r>
          </w:p>
        </w:tc>
      </w:tr>
      <w:tr>
        <w:tc>
          <w:tcPr>
            <w:tcW w:type="dxa" w:w="4320"/>
          </w:tcPr>
          <w:p>
            <w:r>
              <w:t>Report builder (docx)</w:t>
            </w:r>
          </w:p>
        </w:tc>
        <w:tc>
          <w:tcPr>
            <w:tcW w:type="dxa" w:w="4320"/>
          </w:tcPr>
          <w:p>
            <w:r>
              <w:t>sap.report.docx 1.5.0</w:t>
            </w:r>
          </w:p>
        </w:tc>
      </w:tr>
    </w:tbl>
    <w:p>
      <w:r>
        <w:rPr>
          <w:b/>
        </w:rPr>
        <w:t>Module versions</w:t>
      </w:r>
    </w:p>
    <w:tbl>
      <w:tblPr>
        <w:tblStyle w:val="LightGrid-Accent1"/>
        <w:tblW w:type="auto" w:w="0"/>
        <w:tblLook w:firstColumn="1" w:firstRow="1" w:lastColumn="0" w:lastRow="0" w:noHBand="0" w:noVBand="1" w:val="04A0"/>
      </w:tblPr>
      <w:tblGrid>
        <w:gridCol w:w="4320"/>
        <w:gridCol w:w="4320"/>
      </w:tblGrid>
      <w:tr>
        <w:tc>
          <w:tcPr>
            <w:tcW w:type="dxa" w:w="4320"/>
          </w:tcPr>
          <w:p>
            <w:r>
              <w:rPr>
                <w:b/>
              </w:rPr>
              <w:t>Module</w:t>
            </w:r>
          </w:p>
        </w:tc>
        <w:tc>
          <w:tcPr>
            <w:tcW w:type="dxa" w:w="4320"/>
          </w:tcPr>
          <w:p>
            <w:r>
              <w:rPr>
                <w:b/>
              </w:rPr>
              <w:t>Version</w:t>
            </w:r>
          </w:p>
        </w:tc>
      </w:tr>
      <w:tr>
        <w:tc>
          <w:tcPr>
            <w:tcW w:type="dxa" w:w="4320"/>
          </w:tcPr>
          <w:p>
            <w:r>
              <w:t>bench.classification</w:t>
            </w:r>
          </w:p>
        </w:tc>
        <w:tc>
          <w:tcPr>
            <w:tcW w:type="dxa" w:w="4320"/>
          </w:tcPr>
          <w:p>
            <w:r>
              <w:t>1.0.0</w:t>
            </w:r>
          </w:p>
        </w:tc>
      </w:tr>
      <w:tr>
        <w:tc>
          <w:tcPr>
            <w:tcW w:type="dxa" w:w="4320"/>
          </w:tcPr>
          <w:p>
            <w:r>
              <w:t>bench.dep3</w:t>
            </w:r>
          </w:p>
        </w:tc>
        <w:tc>
          <w:tcPr>
            <w:tcW w:type="dxa" w:w="4320"/>
          </w:tcPr>
          <w:p>
            <w:r>
              <w:t>1.0.0</w:t>
            </w:r>
          </w:p>
        </w:tc>
      </w:tr>
      <w:tr>
        <w:tc>
          <w:tcPr>
            <w:tcW w:type="dxa" w:w="4320"/>
          </w:tcPr>
          <w:p>
            <w:r>
              <w:t>bench.dep3_aggregate</w:t>
            </w:r>
          </w:p>
        </w:tc>
        <w:tc>
          <w:tcPr>
            <w:tcW w:type="dxa" w:w="4320"/>
          </w:tcPr>
          <w:p>
            <w:r>
              <w:t>1.0.0</w:t>
            </w:r>
          </w:p>
        </w:tc>
      </w:tr>
      <w:tr>
        <w:tc>
          <w:tcPr>
            <w:tcW w:type="dxa" w:w="4320"/>
          </w:tcPr>
          <w:p>
            <w:r>
              <w:t>bench.dep3_sample</w:t>
            </w:r>
          </w:p>
        </w:tc>
        <w:tc>
          <w:tcPr>
            <w:tcW w:type="dxa" w:w="4320"/>
          </w:tcPr>
          <w:p>
            <w:r>
              <w:t>1.0.0</w:t>
            </w:r>
          </w:p>
        </w:tc>
      </w:tr>
      <w:tr>
        <w:tc>
          <w:tcPr>
            <w:tcW w:type="dxa" w:w="4320"/>
          </w:tcPr>
          <w:p>
            <w:r>
              <w:t>bench.dep3_score</w:t>
            </w:r>
          </w:p>
        </w:tc>
        <w:tc>
          <w:tcPr>
            <w:tcW w:type="dxa" w:w="4320"/>
          </w:tcPr>
          <w:p>
            <w:r>
              <w:t>1.0.0</w:t>
            </w:r>
          </w:p>
        </w:tc>
      </w:tr>
      <w:tr>
        <w:tc>
          <w:tcPr>
            <w:tcW w:type="dxa" w:w="4320"/>
          </w:tcPr>
          <w:p>
            <w:r>
              <w:t>bench.isprs</w:t>
            </w:r>
          </w:p>
        </w:tc>
        <w:tc>
          <w:tcPr>
            <w:tcW w:type="dxa" w:w="4320"/>
          </w:tcPr>
          <w:p>
            <w:r>
              <w:t>1.0.0</w:t>
            </w:r>
          </w:p>
        </w:tc>
      </w:tr>
      <w:tr>
        <w:tc>
          <w:tcPr>
            <w:tcW w:type="dxa" w:w="4320"/>
          </w:tcPr>
          <w:p>
            <w:r>
              <w:t>breakline.detect</w:t>
            </w:r>
          </w:p>
        </w:tc>
        <w:tc>
          <w:tcPr>
            <w:tcW w:type="dxa" w:w="4320"/>
          </w:tcPr>
          <w:p>
            <w:r>
              <w:t>1.0.0</w:t>
            </w:r>
          </w:p>
        </w:tc>
      </w:tr>
      <w:tr>
        <w:tc>
          <w:tcPr>
            <w:tcW w:type="dxa" w:w="4320"/>
          </w:tcPr>
          <w:p>
            <w:r>
              <w:t>breakline.vectorize</w:t>
            </w:r>
          </w:p>
        </w:tc>
        <w:tc>
          <w:tcPr>
            <w:tcW w:type="dxa" w:w="4320"/>
          </w:tcPr>
          <w:p>
            <w:r>
              <w:t>1.0.0</w:t>
            </w:r>
          </w:p>
        </w:tc>
      </w:tr>
      <w:tr>
        <w:tc>
          <w:tcPr>
            <w:tcW w:type="dxa" w:w="4320"/>
          </w:tcPr>
          <w:p>
            <w:r>
              <w:t>cad</w:t>
            </w:r>
          </w:p>
        </w:tc>
        <w:tc>
          <w:tcPr>
            <w:tcW w:type="dxa" w:w="4320"/>
          </w:tcPr>
          <w:p>
            <w:r>
              <w:t>1.0.0</w:t>
            </w:r>
          </w:p>
        </w:tc>
      </w:tr>
      <w:tr>
        <w:tc>
          <w:tcPr>
            <w:tcW w:type="dxa" w:w="4320"/>
          </w:tcPr>
          <w:p>
            <w:r>
              <w:t>cad.crs</w:t>
            </w:r>
          </w:p>
        </w:tc>
        <w:tc>
          <w:tcPr>
            <w:tcW w:type="dxa" w:w="4320"/>
          </w:tcPr>
          <w:p>
            <w:r>
              <w:t>1.0.0</w:t>
            </w:r>
          </w:p>
        </w:tc>
      </w:tr>
      <w:tr>
        <w:tc>
          <w:tcPr>
            <w:tcW w:type="dxa" w:w="4320"/>
          </w:tcPr>
          <w:p>
            <w:r>
              <w:t>cad.dxf</w:t>
            </w:r>
          </w:p>
        </w:tc>
        <w:tc>
          <w:tcPr>
            <w:tcW w:type="dxa" w:w="4320"/>
          </w:tcPr>
          <w:p>
            <w:r>
              <w:t>1.0.0</w:t>
            </w:r>
          </w:p>
        </w:tc>
      </w:tr>
      <w:tr>
        <w:tc>
          <w:tcPr>
            <w:tcW w:type="dxa" w:w="4320"/>
          </w:tcPr>
          <w:p>
            <w:r>
              <w:t>cad.landxml</w:t>
            </w:r>
          </w:p>
        </w:tc>
        <w:tc>
          <w:tcPr>
            <w:tcW w:type="dxa" w:w="4320"/>
          </w:tcPr>
          <w:p>
            <w:r>
              <w:t>1.2.0</w:t>
            </w:r>
          </w:p>
        </w:tc>
      </w:tr>
      <w:tr>
        <w:tc>
          <w:tcPr>
            <w:tcW w:type="dxa" w:w="4320"/>
          </w:tcPr>
          <w:p>
            <w:r>
              <w:t>cad.pipeline</w:t>
            </w:r>
          </w:p>
        </w:tc>
        <w:tc>
          <w:tcPr>
            <w:tcW w:type="dxa" w:w="4320"/>
          </w:tcPr>
          <w:p>
            <w:r>
              <w:t>1.2.0</w:t>
            </w:r>
          </w:p>
        </w:tc>
      </w:tr>
      <w:tr>
        <w:tc>
          <w:tcPr>
            <w:tcW w:type="dxa" w:w="4320"/>
          </w:tcPr>
          <w:p>
            <w:r>
              <w:t>cad.stamp</w:t>
            </w:r>
          </w:p>
        </w:tc>
        <w:tc>
          <w:tcPr>
            <w:tcW w:type="dxa" w:w="4320"/>
          </w:tcPr>
          <w:p>
            <w:r>
              <w:t>1.2.0</w:t>
            </w:r>
          </w:p>
        </w:tc>
      </w:tr>
      <w:tr>
        <w:tc>
          <w:tcPr>
            <w:tcW w:type="dxa" w:w="4320"/>
          </w:tcPr>
          <w:p>
            <w:r>
              <w:t>cad.surface</w:t>
            </w:r>
          </w:p>
        </w:tc>
        <w:tc>
          <w:tcPr>
            <w:tcW w:type="dxa" w:w="4320"/>
          </w:tcPr>
          <w:p>
            <w:r>
              <w:t>1.0.0</w:t>
            </w:r>
          </w:p>
        </w:tc>
      </w:tr>
      <w:tr>
        <w:tc>
          <w:tcPr>
            <w:tcW w:type="dxa" w:w="4320"/>
          </w:tcPr>
          <w:p>
            <w:r>
              <w:t>cad.vertical</w:t>
            </w:r>
          </w:p>
        </w:tc>
        <w:tc>
          <w:tcPr>
            <w:tcW w:type="dxa" w:w="4320"/>
          </w:tcPr>
          <w:p>
            <w:r>
              <w:t>1.0.0</w:t>
            </w:r>
          </w:p>
        </w:tc>
      </w:tr>
      <w:tr>
        <w:tc>
          <w:tcPr>
            <w:tcW w:type="dxa" w:w="4320"/>
          </w:tcPr>
          <w:p>
            <w:r>
              <w:t>change.core</w:t>
            </w:r>
          </w:p>
        </w:tc>
        <w:tc>
          <w:tcPr>
            <w:tcW w:type="dxa" w:w="4320"/>
          </w:tcPr>
          <w:p>
            <w:r>
              <w:t>1.1.0</w:t>
            </w:r>
          </w:p>
        </w:tc>
      </w:tr>
      <w:tr>
        <w:tc>
          <w:tcPr>
            <w:tcW w:type="dxa" w:w="4320"/>
          </w:tcPr>
          <w:p>
            <w:r>
              <w:t>color</w:t>
            </w:r>
          </w:p>
        </w:tc>
        <w:tc>
          <w:tcPr>
            <w:tcW w:type="dxa" w:w="4320"/>
          </w:tcPr>
          <w:p>
            <w:r>
              <w:t>1.2.1</w:t>
            </w:r>
          </w:p>
        </w:tc>
      </w:tr>
      <w:tr>
        <w:tc>
          <w:tcPr>
            <w:tcW w:type="dxa" w:w="4320"/>
          </w:tcPr>
          <w:p>
            <w:r>
              <w:t>color.awss3</w:t>
            </w:r>
          </w:p>
        </w:tc>
        <w:tc>
          <w:tcPr>
            <w:tcW w:type="dxa" w:w="4320"/>
          </w:tcPr>
          <w:p>
            <w:r>
              <w:t>1.0.0</w:t>
            </w:r>
          </w:p>
        </w:tc>
      </w:tr>
      <w:tr>
        <w:tc>
          <w:tcPr>
            <w:tcW w:type="dxa" w:w="4320"/>
          </w:tcPr>
          <w:p>
            <w:r>
              <w:t>color.cog</w:t>
            </w:r>
          </w:p>
        </w:tc>
        <w:tc>
          <w:tcPr>
            <w:tcW w:type="dxa" w:w="4320"/>
          </w:tcPr>
          <w:p>
            <w:r>
              <w:t>1.0.0-dev</w:t>
            </w:r>
          </w:p>
        </w:tc>
      </w:tr>
      <w:tr>
        <w:tc>
          <w:tcPr>
            <w:tcW w:type="dxa" w:w="4320"/>
          </w:tcPr>
          <w:p>
            <w:r>
              <w:t>color.consistency</w:t>
            </w:r>
          </w:p>
        </w:tc>
        <w:tc>
          <w:tcPr>
            <w:tcW w:type="dxa" w:w="4320"/>
          </w:tcPr>
          <w:p>
            <w:r>
              <w:t>1.1.0</w:t>
            </w:r>
          </w:p>
        </w:tc>
      </w:tr>
      <w:tr>
        <w:tc>
          <w:tcPr>
            <w:tcW w:type="dxa" w:w="4320"/>
          </w:tcPr>
          <w:p>
            <w:r>
              <w:t>color.drape</w:t>
            </w:r>
          </w:p>
        </w:tc>
        <w:tc>
          <w:tcPr>
            <w:tcW w:type="dxa" w:w="4320"/>
          </w:tcPr>
          <w:p>
            <w:r>
              <w:t>1.0.0</w:t>
            </w:r>
          </w:p>
        </w:tc>
      </w:tr>
      <w:tr>
        <w:tc>
          <w:tcPr>
            <w:tcW w:type="dxa" w:w="4320"/>
          </w:tcPr>
          <w:p>
            <w:r>
              <w:t>color.fusion</w:t>
            </w:r>
          </w:p>
        </w:tc>
        <w:tc>
          <w:tcPr>
            <w:tcW w:type="dxa" w:w="4320"/>
          </w:tcPr>
          <w:p>
            <w:r>
              <w:t>1.0.0-dev</w:t>
            </w:r>
          </w:p>
        </w:tc>
      </w:tr>
      <w:tr>
        <w:tc>
          <w:tcPr>
            <w:tcW w:type="dxa" w:w="4320"/>
          </w:tcPr>
          <w:p>
            <w:r>
              <w:t>color.laswrite</w:t>
            </w:r>
          </w:p>
        </w:tc>
        <w:tc>
          <w:tcPr>
            <w:tcW w:type="dxa" w:w="4320"/>
          </w:tcPr>
          <w:p>
            <w:r>
              <w:t>1.0.0</w:t>
            </w:r>
          </w:p>
        </w:tc>
      </w:tr>
      <w:tr>
        <w:tc>
          <w:tcPr>
            <w:tcW w:type="dxa" w:w="4320"/>
          </w:tcPr>
          <w:p>
            <w:r>
              <w:t>color.mosaic</w:t>
            </w:r>
          </w:p>
        </w:tc>
        <w:tc>
          <w:tcPr>
            <w:tcW w:type="dxa" w:w="4320"/>
          </w:tcPr>
          <w:p>
            <w:r>
              <w:t>1.0.0</w:t>
            </w:r>
          </w:p>
        </w:tc>
      </w:tr>
      <w:tr>
        <w:tc>
          <w:tcPr>
            <w:tcW w:type="dxa" w:w="4320"/>
          </w:tcPr>
          <w:p>
            <w:r>
              <w:t>color.raster</w:t>
            </w:r>
          </w:p>
        </w:tc>
        <w:tc>
          <w:tcPr>
            <w:tcW w:type="dxa" w:w="4320"/>
          </w:tcPr>
          <w:p>
            <w:r>
              <w:t>1.6.1</w:t>
            </w:r>
          </w:p>
        </w:tc>
      </w:tr>
      <w:tr>
        <w:tc>
          <w:tcPr>
            <w:tcW w:type="dxa" w:w="4320"/>
          </w:tcPr>
          <w:p>
            <w:r>
              <w:t>color.reflectance</w:t>
            </w:r>
          </w:p>
        </w:tc>
        <w:tc>
          <w:tcPr>
            <w:tcW w:type="dxa" w:w="4320"/>
          </w:tcPr>
          <w:p>
            <w:r>
              <w:t>1.0.0</w:t>
            </w:r>
          </w:p>
        </w:tc>
      </w:tr>
      <w:tr>
        <w:tc>
          <w:tcPr>
            <w:tcW w:type="dxa" w:w="4320"/>
          </w:tcPr>
          <w:p>
            <w:r>
              <w:t>color.registration</w:t>
            </w:r>
          </w:p>
        </w:tc>
        <w:tc>
          <w:tcPr>
            <w:tcW w:type="dxa" w:w="4320"/>
          </w:tcPr>
          <w:p>
            <w:r>
              <w:t>1.0.0</w:t>
            </w:r>
          </w:p>
        </w:tc>
      </w:tr>
      <w:tr>
        <w:tc>
          <w:tcPr>
            <w:tcW w:type="dxa" w:w="4320"/>
          </w:tcPr>
          <w:p>
            <w:r>
              <w:t>color.rgbtiff</w:t>
            </w:r>
          </w:p>
        </w:tc>
        <w:tc>
          <w:tcPr>
            <w:tcW w:type="dxa" w:w="4320"/>
          </w:tcPr>
          <w:p>
            <w:r>
              <w:t>1.0.0-dev</w:t>
            </w:r>
          </w:p>
        </w:tc>
      </w:tr>
      <w:tr>
        <w:tc>
          <w:tcPr>
            <w:tcW w:type="dxa" w:w="4320"/>
          </w:tcPr>
          <w:p>
            <w:r>
              <w:t>color.selection</w:t>
            </w:r>
          </w:p>
        </w:tc>
        <w:tc>
          <w:tcPr>
            <w:tcW w:type="dxa" w:w="4320"/>
          </w:tcPr>
          <w:p>
            <w:r>
              <w:t>1.0.0</w:t>
            </w:r>
          </w:p>
        </w:tc>
      </w:tr>
      <w:tr>
        <w:tc>
          <w:tcPr>
            <w:tcW w:type="dxa" w:w="4320"/>
          </w:tcPr>
          <w:p>
            <w:r>
              <w:t>color.sources</w:t>
            </w:r>
          </w:p>
        </w:tc>
        <w:tc>
          <w:tcPr>
            <w:tcW w:type="dxa" w:w="4320"/>
          </w:tcPr>
          <w:p>
            <w:r>
              <w:t>1.2.0</w:t>
            </w:r>
          </w:p>
        </w:tc>
      </w:tr>
      <w:tr>
        <w:tc>
          <w:tcPr>
            <w:tcW w:type="dxa" w:w="4320"/>
          </w:tcPr>
          <w:p>
            <w:r>
              <w:t>color.stac</w:t>
            </w:r>
          </w:p>
        </w:tc>
        <w:tc>
          <w:tcPr>
            <w:tcW w:type="dxa" w:w="4320"/>
          </w:tcPr>
          <w:p>
            <w:r>
              <w:t>1.0.0-dev</w:t>
            </w:r>
          </w:p>
        </w:tc>
      </w:tr>
      <w:tr>
        <w:tc>
          <w:tcPr>
            <w:tcW w:type="dxa" w:w="4320"/>
          </w:tcPr>
          <w:p>
            <w:r>
              <w:t>export</w:t>
            </w:r>
          </w:p>
        </w:tc>
        <w:tc>
          <w:tcPr>
            <w:tcW w:type="dxa" w:w="4320"/>
          </w:tcPr>
          <w:p>
            <w:r>
              <w:t>1.2.0</w:t>
            </w:r>
          </w:p>
        </w:tc>
      </w:tr>
      <w:tr>
        <w:tc>
          <w:tcPr>
            <w:tcW w:type="dxa" w:w="4320"/>
          </w:tcPr>
          <w:p>
            <w:r>
              <w:t>hydro.watermask</w:t>
            </w:r>
          </w:p>
        </w:tc>
        <w:tc>
          <w:tcPr>
            <w:tcW w:type="dxa" w:w="4320"/>
          </w:tcPr>
          <w:p>
            <w:r>
              <w:t>1.0.0</w:t>
            </w:r>
          </w:p>
        </w:tc>
      </w:tr>
      <w:tr>
        <w:tc>
          <w:tcPr>
            <w:tcW w:type="dxa" w:w="4320"/>
          </w:tcPr>
          <w:p>
            <w:r>
              <w:t>ign.fetch_lidarhd_urban</w:t>
            </w:r>
          </w:p>
        </w:tc>
        <w:tc>
          <w:tcPr>
            <w:tcW w:type="dxa" w:w="4320"/>
          </w:tcPr>
          <w:p>
            <w:r>
              <w:t>1.0.0</w:t>
            </w:r>
          </w:p>
        </w:tc>
      </w:tr>
      <w:tr>
        <w:tc>
          <w:tcPr>
            <w:tcW w:type="dxa" w:w="4320"/>
          </w:tcPr>
          <w:p>
            <w:r>
              <w:t>report.density</w:t>
            </w:r>
          </w:p>
        </w:tc>
        <w:tc>
          <w:tcPr>
            <w:tcW w:type="dxa" w:w="4320"/>
          </w:tcPr>
          <w:p>
            <w:r>
              <w:t>1.1.0</w:t>
            </w:r>
          </w:p>
        </w:tc>
      </w:tr>
      <w:tr>
        <w:tc>
          <w:tcPr>
            <w:tcW w:type="dxa" w:w="4320"/>
          </w:tcPr>
          <w:p>
            <w:r>
              <w:t>report.docx</w:t>
            </w:r>
          </w:p>
        </w:tc>
        <w:tc>
          <w:tcPr>
            <w:tcW w:type="dxa" w:w="4320"/>
          </w:tcPr>
          <w:p>
            <w:r>
              <w:t>1.5.0</w:t>
            </w:r>
          </w:p>
        </w:tc>
      </w:tr>
      <w:tr>
        <w:tc>
          <w:tcPr>
            <w:tcW w:type="dxa" w:w="4320"/>
          </w:tcPr>
          <w:p>
            <w:r>
              <w:t>report.facts</w:t>
            </w:r>
          </w:p>
        </w:tc>
        <w:tc>
          <w:tcPr>
            <w:tcW w:type="dxa" w:w="4320"/>
          </w:tcPr>
          <w:p>
            <w:r>
              <w:t>1.4.0</w:t>
            </w:r>
          </w:p>
        </w:tc>
      </w:tr>
      <w:tr>
        <w:tc>
          <w:tcPr>
            <w:tcW w:type="dxa" w:w="4320"/>
          </w:tcPr>
          <w:p>
            <w:r>
              <w:t>report.fgdc</w:t>
            </w:r>
          </w:p>
        </w:tc>
        <w:tc>
          <w:tcPr>
            <w:tcW w:type="dxa" w:w="4320"/>
          </w:tcPr>
          <w:p>
            <w:r>
              <w:t>1.3.0</w:t>
            </w:r>
          </w:p>
        </w:tc>
      </w:tr>
      <w:tr>
        <w:tc>
          <w:tcPr>
            <w:tcW w:type="dxa" w:w="4320"/>
          </w:tcPr>
          <w:p>
            <w:r>
              <w:t>report.narrate</w:t>
            </w:r>
          </w:p>
        </w:tc>
        <w:tc>
          <w:tcPr>
            <w:tcW w:type="dxa" w:w="4320"/>
          </w:tcPr>
          <w:p>
            <w:r>
              <w:t>1.1.1</w:t>
            </w:r>
          </w:p>
        </w:tc>
      </w:tr>
      <w:tr>
        <w:tc>
          <w:tcPr>
            <w:tcW w:type="dxa" w:w="4320"/>
          </w:tcPr>
          <w:p>
            <w:r>
              <w:t>report.pdf</w:t>
            </w:r>
          </w:p>
        </w:tc>
        <w:tc>
          <w:tcPr>
            <w:tcW w:type="dxa" w:w="4320"/>
          </w:tcPr>
          <w:p>
            <w:r>
              <w:t>1.11.0</w:t>
            </w:r>
          </w:p>
        </w:tc>
      </w:tr>
      <w:tr>
        <w:tc>
          <w:tcPr>
            <w:tcW w:type="dxa" w:w="4320"/>
          </w:tcPr>
          <w:p>
            <w:r>
              <w:t>report.units</w:t>
            </w:r>
          </w:p>
        </w:tc>
        <w:tc>
          <w:tcPr>
            <w:tcW w:type="dxa" w:w="4320"/>
          </w:tcPr>
          <w:p>
            <w:r>
              <w:t>1.0.0</w:t>
            </w:r>
          </w:p>
        </w:tc>
      </w:tr>
      <w:tr>
        <w:tc>
          <w:tcPr>
            <w:tcW w:type="dxa" w:w="4320"/>
          </w:tcPr>
          <w:p>
            <w:r>
              <w:t>stats.robust</w:t>
            </w:r>
          </w:p>
        </w:tc>
        <w:tc>
          <w:tcPr>
            <w:tcW w:type="dxa" w:w="4320"/>
          </w:tcPr>
          <w:p>
            <w:r>
              <w:t>1.0.0</w:t>
            </w:r>
          </w:p>
        </w:tc>
      </w:tr>
      <w:tr>
        <w:tc>
          <w:tcPr>
            <w:tcW w:type="dxa" w:w="4320"/>
          </w:tcPr>
          <w:p>
            <w:r>
              <w:t>survey.geoid</w:t>
            </w:r>
          </w:p>
        </w:tc>
        <w:tc>
          <w:tcPr>
            <w:tcW w:type="dxa" w:w="4320"/>
          </w:tcPr>
          <w:p>
            <w:r>
              <w:t>1.1.0</w:t>
            </w:r>
          </w:p>
        </w:tc>
      </w:tr>
      <w:tr>
        <w:tc>
          <w:tcPr>
            <w:tcW w:type="dxa" w:w="4320"/>
          </w:tcPr>
          <w:p>
            <w:r>
              <w:t>usgs.ept</w:t>
            </w:r>
          </w:p>
        </w:tc>
        <w:tc>
          <w:tcPr>
            <w:tcW w:type="dxa" w:w="4320"/>
          </w:tcPr>
          <w:p>
            <w:r>
              <w:t>1.0.0</w:t>
            </w:r>
          </w:p>
        </w:tc>
      </w:tr>
      <w:tr>
        <w:tc>
          <w:tcPr>
            <w:tcW w:type="dxa" w:w="4320"/>
          </w:tcPr>
          <w:p>
            <w:r>
              <w:t>validate.adjust</w:t>
            </w:r>
          </w:p>
        </w:tc>
        <w:tc>
          <w:tcPr>
            <w:tcW w:type="dxa" w:w="4320"/>
          </w:tcPr>
          <w:p>
            <w:r>
              <w:t>1.2.0</w:t>
            </w:r>
          </w:p>
        </w:tc>
      </w:tr>
      <w:tr>
        <w:tc>
          <w:tcPr>
            <w:tcW w:type="dxa" w:w="4320"/>
          </w:tcPr>
          <w:p>
            <w:r>
              <w:t>validate.asprs</w:t>
            </w:r>
          </w:p>
        </w:tc>
        <w:tc>
          <w:tcPr>
            <w:tcW w:type="dxa" w:w="4320"/>
          </w:tcPr>
          <w:p>
            <w:r>
              <w:t>1.1.0</w:t>
            </w:r>
          </w:p>
        </w:tc>
      </w:tr>
      <w:tr>
        <w:tc>
          <w:tcPr>
            <w:tcW w:type="dxa" w:w="4320"/>
          </w:tcPr>
          <w:p>
            <w:r>
              <w:t>validate.checkpoints</w:t>
            </w:r>
          </w:p>
        </w:tc>
        <w:tc>
          <w:tcPr>
            <w:tcW w:type="dxa" w:w="4320"/>
          </w:tcPr>
          <w:p>
            <w:r>
              <w:t>1.3.1</w:t>
            </w:r>
          </w:p>
        </w:tc>
      </w:tr>
      <w:tr>
        <w:tc>
          <w:tcPr>
            <w:tcW w:type="dxa" w:w="4320"/>
          </w:tcPr>
          <w:p>
            <w:r>
              <w:t>validate.coregister</w:t>
            </w:r>
          </w:p>
        </w:tc>
        <w:tc>
          <w:tcPr>
            <w:tcW w:type="dxa" w:w="4320"/>
          </w:tcPr>
          <w:p>
            <w:r>
              <w:t>1.0.0</w:t>
            </w:r>
          </w:p>
        </w:tc>
      </w:tr>
      <w:tr>
        <w:tc>
          <w:tcPr>
            <w:tcW w:type="dxa" w:w="4320"/>
          </w:tcPr>
          <w:p>
            <w:r>
              <w:t>validate.demdiff</w:t>
            </w:r>
          </w:p>
        </w:tc>
        <w:tc>
          <w:tcPr>
            <w:tcW w:type="dxa" w:w="4320"/>
          </w:tcPr>
          <w:p>
            <w:r>
              <w:t>1.0.0</w:t>
            </w:r>
          </w:p>
        </w:tc>
      </w:tr>
      <w:tr>
        <w:tc>
          <w:tcPr>
            <w:tcW w:type="dxa" w:w="4320"/>
          </w:tcPr>
          <w:p>
            <w:r>
              <w:t>validate.dep3raster</w:t>
            </w:r>
          </w:p>
        </w:tc>
        <w:tc>
          <w:tcPr>
            <w:tcW w:type="dxa" w:w="4320"/>
          </w:tcPr>
          <w:p>
            <w:r>
              <w:t>1.0.0</w:t>
            </w:r>
          </w:p>
        </w:tc>
      </w:tr>
      <w:tr>
        <w:tc>
          <w:tcPr>
            <w:tcW w:type="dxa" w:w="4320"/>
          </w:tcPr>
          <w:p>
            <w:r>
              <w:t>validate.epqs</w:t>
            </w:r>
          </w:p>
        </w:tc>
        <w:tc>
          <w:tcPr>
            <w:tcW w:type="dxa" w:w="4320"/>
          </w:tcPr>
          <w:p>
            <w:r>
              <w:t>1.1.1</w:t>
            </w:r>
          </w:p>
        </w:tc>
      </w:tr>
      <w:tr>
        <w:tc>
          <w:tcPr>
            <w:tcW w:type="dxa" w:w="4320"/>
          </w:tcPr>
          <w:p>
            <w:r>
              <w:t>vector.extent</w:t>
            </w:r>
          </w:p>
        </w:tc>
        <w:tc>
          <w:tcPr>
            <w:tcW w:type="dxa" w:w="4320"/>
          </w:tcPr>
          <w:p>
            <w:r>
              <w:t>1.0.0</w:t>
            </w:r>
          </w:p>
        </w:tc>
      </w:tr>
      <w:tr>
        <w:tc>
          <w:tcPr>
            <w:tcW w:type="dxa" w:w="4320"/>
          </w:tcPr>
          <w:p>
            <w:r>
              <w:t>vector.io</w:t>
            </w:r>
          </w:p>
        </w:tc>
        <w:tc>
          <w:tcPr>
            <w:tcW w:type="dxa" w:w="4320"/>
          </w:tcPr>
          <w:p>
            <w:r>
              <w:t>1.0.0</w:t>
            </w:r>
          </w:p>
        </w:tc>
      </w:tr>
    </w:tbl>
    <w:p>
      <w:r>
        <w:rPr>
          <w:i/>
          <w:color w:val="5A6672"/>
          <w:sz w:val="17"/>
        </w:rPr>
        <w:t>All figures in this report are computed deterministically by the PRISM·lidarcloud processing engine from the inputs above (no clock, no randomness); the report renderer writes those values verbatim and computes none of the reported accuracy statistics itself. This document is a DRAFT until reviewed, signed and sealed by the Professional Surveyor &amp; Mapper (PSM) / Professional Land Surveyor (PLS) of record under the licensing statutes and rules of the jurisdiction in which the survey is performed.</w:t>
      </w:r>
    </w:p>
    <w:sectPr w:rsidR="00FC693F" w:rsidRPr="0006063C"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rPr>
      <w:rFonts w:ascii="Calibri" w:hAnsi="Calibri"/>
      <w:sz w:val="20"/>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pn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PRISM - Positional Accuracy Report</dc:title>
  <dc:subject>ASPRS positional accuracy assessment (DRAFT pending PSM review)</dc:subject>
  <dc:creator>PRISM LiDAR Cloud</dc:creator>
  <cp:keywords/>
  <dc:description>generated by python-docx</dc:description>
  <cp:lastModifiedBy>PRISM LiDAR Cloud report.docx</cp:lastModifiedBy>
  <cp:revision>1</cp:revision>
  <dcterms:created xsi:type="dcterms:W3CDTF">2026-07-03T20:19:13Z</dcterms:created>
  <dcterms:modified xsi:type="dcterms:W3CDTF">2026-07-03T20:19:13Z</dcterms:modified>
  <cp:category/>
</cp:coreProperties>
</file>